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54F420" w14:textId="77777777" w:rsidR="004A5B94" w:rsidRDefault="004A5B94" w:rsidP="00C458AE">
      <w:pPr>
        <w:jc w:val="both"/>
        <w:rPr>
          <w:rFonts w:ascii="Arial" w:hAnsi="Arial" w:cs="Arial"/>
          <w:sz w:val="20"/>
          <w:szCs w:val="20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256"/>
        <w:gridCol w:w="5572"/>
      </w:tblGrid>
      <w:tr w:rsidR="004A5B94" w:rsidRPr="00C458AE" w14:paraId="2B7DCE9D" w14:textId="77777777" w:rsidTr="008612B5">
        <w:trPr>
          <w:trHeight w:val="416"/>
        </w:trPr>
        <w:tc>
          <w:tcPr>
            <w:tcW w:w="8828" w:type="dxa"/>
            <w:gridSpan w:val="2"/>
          </w:tcPr>
          <w:p w14:paraId="78F35E83" w14:textId="77777777" w:rsidR="004A5B94" w:rsidRPr="00C458AE" w:rsidRDefault="004A5B94" w:rsidP="008612B5">
            <w:pPr>
              <w:jc w:val="center"/>
              <w:rPr>
                <w:sz w:val="20"/>
                <w:szCs w:val="20"/>
              </w:rPr>
            </w:pPr>
            <w:r w:rsidRPr="00C458AE">
              <w:rPr>
                <w:rFonts w:ascii="Arial" w:hAnsi="Arial" w:cs="Arial"/>
                <w:b/>
                <w:bCs/>
                <w:sz w:val="20"/>
                <w:szCs w:val="20"/>
              </w:rPr>
              <w:t>Controles ISO 27002:2022</w:t>
            </w:r>
          </w:p>
        </w:tc>
      </w:tr>
      <w:tr w:rsidR="004A5B94" w:rsidRPr="00C458AE" w14:paraId="1299AE0E" w14:textId="77777777" w:rsidTr="008612B5">
        <w:trPr>
          <w:trHeight w:val="391"/>
        </w:trPr>
        <w:tc>
          <w:tcPr>
            <w:tcW w:w="8828" w:type="dxa"/>
            <w:gridSpan w:val="2"/>
          </w:tcPr>
          <w:p w14:paraId="146C1CCD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b/>
                <w:bCs/>
                <w:sz w:val="20"/>
                <w:szCs w:val="20"/>
              </w:rPr>
              <w:t>5. Controles organizacionales</w:t>
            </w:r>
          </w:p>
        </w:tc>
      </w:tr>
      <w:tr w:rsidR="004A5B94" w:rsidRPr="00C458AE" w14:paraId="201C772A" w14:textId="77777777" w:rsidTr="008612B5">
        <w:trPr>
          <w:trHeight w:val="1483"/>
        </w:trPr>
        <w:tc>
          <w:tcPr>
            <w:tcW w:w="3256" w:type="dxa"/>
          </w:tcPr>
          <w:p w14:paraId="2CB710CD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5.1 Políticas de seguridad de la información</w:t>
            </w:r>
          </w:p>
        </w:tc>
        <w:tc>
          <w:tcPr>
            <w:tcW w:w="5572" w:type="dxa"/>
          </w:tcPr>
          <w:p w14:paraId="060C476B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La política de seguridad de la información y las políticas de temas específicos deben ser definidas, aprobadas por la dirección, publicadas, comunicadas y reconocidas por el personal y las partes interesadas pertinentes y revisadas a intervalos planificados y si se producen cambios significativos.</w:t>
            </w:r>
          </w:p>
        </w:tc>
      </w:tr>
      <w:tr w:rsidR="004A5B94" w:rsidRPr="00C458AE" w14:paraId="3270BC9E" w14:textId="77777777" w:rsidTr="008612B5">
        <w:trPr>
          <w:trHeight w:val="794"/>
        </w:trPr>
        <w:tc>
          <w:tcPr>
            <w:tcW w:w="3256" w:type="dxa"/>
          </w:tcPr>
          <w:p w14:paraId="7F144EEF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5.2 Roles y responsabilidades de seguridad de la información</w:t>
            </w:r>
          </w:p>
        </w:tc>
        <w:tc>
          <w:tcPr>
            <w:tcW w:w="5572" w:type="dxa"/>
          </w:tcPr>
          <w:p w14:paraId="49252E5F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Las funciones y responsabilidades de seguridad de la información se deben definir y asignar de acuerdo con las necesidades de la organización.</w:t>
            </w:r>
          </w:p>
        </w:tc>
      </w:tr>
      <w:tr w:rsidR="004A5B94" w:rsidRPr="00C458AE" w14:paraId="639BBEC6" w14:textId="77777777" w:rsidTr="008612B5">
        <w:trPr>
          <w:trHeight w:val="520"/>
        </w:trPr>
        <w:tc>
          <w:tcPr>
            <w:tcW w:w="3256" w:type="dxa"/>
          </w:tcPr>
          <w:p w14:paraId="2A00C587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5.3 Segregación de funciones</w:t>
            </w:r>
          </w:p>
        </w:tc>
        <w:tc>
          <w:tcPr>
            <w:tcW w:w="5572" w:type="dxa"/>
          </w:tcPr>
          <w:p w14:paraId="7AA6947F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Las funciones y las áreas de responsabilidad conflictivas deben estar separadas.</w:t>
            </w:r>
          </w:p>
        </w:tc>
      </w:tr>
      <w:tr w:rsidR="004A5B94" w:rsidRPr="00C458AE" w14:paraId="07295062" w14:textId="77777777" w:rsidTr="00F41542">
        <w:trPr>
          <w:trHeight w:val="1289"/>
        </w:trPr>
        <w:tc>
          <w:tcPr>
            <w:tcW w:w="3256" w:type="dxa"/>
          </w:tcPr>
          <w:p w14:paraId="68F2AED5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5.4 Responsabilidad de la dirección</w:t>
            </w:r>
          </w:p>
        </w:tc>
        <w:tc>
          <w:tcPr>
            <w:tcW w:w="5572" w:type="dxa"/>
          </w:tcPr>
          <w:p w14:paraId="412A19B7" w14:textId="77777777" w:rsidR="004A5B94" w:rsidRPr="00C458AE" w:rsidRDefault="004A5B94" w:rsidP="008612B5">
            <w:pPr>
              <w:tabs>
                <w:tab w:val="left" w:pos="927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La administración debe exigirle a todo el personal que aplique la seguridad de la información de acuerdo con la política de seguridad de la información establecida, las políticas y los procedimientos específicos de cada tema de la organización.</w:t>
            </w:r>
          </w:p>
        </w:tc>
      </w:tr>
      <w:tr w:rsidR="004A5B94" w:rsidRPr="00C458AE" w14:paraId="0464569A" w14:textId="77777777" w:rsidTr="008612B5">
        <w:trPr>
          <w:trHeight w:val="603"/>
        </w:trPr>
        <w:tc>
          <w:tcPr>
            <w:tcW w:w="3256" w:type="dxa"/>
          </w:tcPr>
          <w:p w14:paraId="56FD7D57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5.5 Contacto con las autoridades</w:t>
            </w:r>
          </w:p>
        </w:tc>
        <w:tc>
          <w:tcPr>
            <w:tcW w:w="5572" w:type="dxa"/>
          </w:tcPr>
          <w:p w14:paraId="55BE6638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La organización debe establecer y mantener contacto con las autoridades pertinentes.</w:t>
            </w:r>
          </w:p>
        </w:tc>
      </w:tr>
      <w:tr w:rsidR="004A5B94" w:rsidRPr="00C458AE" w14:paraId="10D3FCB5" w14:textId="77777777" w:rsidTr="008612B5">
        <w:trPr>
          <w:trHeight w:val="851"/>
        </w:trPr>
        <w:tc>
          <w:tcPr>
            <w:tcW w:w="3256" w:type="dxa"/>
          </w:tcPr>
          <w:p w14:paraId="185B06C6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5.6 Contactos con grupos de interés</w:t>
            </w:r>
          </w:p>
        </w:tc>
        <w:tc>
          <w:tcPr>
            <w:tcW w:w="5572" w:type="dxa"/>
          </w:tcPr>
          <w:p w14:paraId="771F8F93" w14:textId="77777777" w:rsidR="004A5B94" w:rsidRPr="00C458AE" w:rsidRDefault="004A5B94" w:rsidP="008612B5">
            <w:pPr>
              <w:tabs>
                <w:tab w:val="left" w:pos="93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La organización debe establecer y mantener contacto con grupos de interés especial u otros foros de seguridad especializados y asociaciones profesionales.</w:t>
            </w:r>
          </w:p>
        </w:tc>
      </w:tr>
      <w:tr w:rsidR="004A5B94" w:rsidRPr="00C458AE" w14:paraId="627A6832" w14:textId="77777777" w:rsidTr="008612B5">
        <w:trPr>
          <w:trHeight w:val="833"/>
        </w:trPr>
        <w:tc>
          <w:tcPr>
            <w:tcW w:w="3256" w:type="dxa"/>
          </w:tcPr>
          <w:p w14:paraId="2F925A70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5.7 Inteligencia de amenazas</w:t>
            </w:r>
          </w:p>
        </w:tc>
        <w:tc>
          <w:tcPr>
            <w:tcW w:w="5572" w:type="dxa"/>
          </w:tcPr>
          <w:p w14:paraId="1CA43463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La información relativa a las amenazas a la seguridad de la información se debe recopilar y analizar para producir inteligencia sobre amenazas.</w:t>
            </w:r>
          </w:p>
        </w:tc>
      </w:tr>
      <w:tr w:rsidR="004A5B94" w:rsidRPr="00C458AE" w14:paraId="0156B89E" w14:textId="77777777" w:rsidTr="008612B5">
        <w:trPr>
          <w:trHeight w:val="523"/>
        </w:trPr>
        <w:tc>
          <w:tcPr>
            <w:tcW w:w="3256" w:type="dxa"/>
          </w:tcPr>
          <w:p w14:paraId="0CFC22C7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5.8 Seguridad de la información en la gestión de proyectos</w:t>
            </w:r>
          </w:p>
        </w:tc>
        <w:tc>
          <w:tcPr>
            <w:tcW w:w="5572" w:type="dxa"/>
          </w:tcPr>
          <w:p w14:paraId="3FCEF340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La seguridad de la información se debe integrar en la gestión de proyectos.</w:t>
            </w:r>
          </w:p>
        </w:tc>
      </w:tr>
      <w:tr w:rsidR="004A5B94" w:rsidRPr="00C458AE" w14:paraId="02BC0903" w14:textId="77777777" w:rsidTr="008612B5">
        <w:trPr>
          <w:trHeight w:val="523"/>
        </w:trPr>
        <w:tc>
          <w:tcPr>
            <w:tcW w:w="3256" w:type="dxa"/>
          </w:tcPr>
          <w:p w14:paraId="76F53B1E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5.9 Inventario de información y otros activos asociados</w:t>
            </w:r>
          </w:p>
        </w:tc>
        <w:tc>
          <w:tcPr>
            <w:tcW w:w="5572" w:type="dxa"/>
          </w:tcPr>
          <w:p w14:paraId="38E9F72B" w14:textId="77777777" w:rsidR="004A5B94" w:rsidRPr="00C458AE" w:rsidRDefault="004A5B94" w:rsidP="008612B5">
            <w:pPr>
              <w:tabs>
                <w:tab w:val="left" w:pos="1941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Se debería elaborar y mantener un inventario de información y otros activos asociados, incluidos los propietarios.</w:t>
            </w:r>
          </w:p>
        </w:tc>
      </w:tr>
      <w:tr w:rsidR="004A5B94" w:rsidRPr="00C458AE" w14:paraId="144A49CD" w14:textId="77777777" w:rsidTr="00F41542">
        <w:trPr>
          <w:trHeight w:val="815"/>
        </w:trPr>
        <w:tc>
          <w:tcPr>
            <w:tcW w:w="3256" w:type="dxa"/>
          </w:tcPr>
          <w:p w14:paraId="02B26A25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5.10 Uso aceptable de la información y otros activos asociados</w:t>
            </w:r>
          </w:p>
        </w:tc>
        <w:tc>
          <w:tcPr>
            <w:tcW w:w="5572" w:type="dxa"/>
          </w:tcPr>
          <w:p w14:paraId="119ECDCF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Se deben identificar, documentar y aplicar normas para el uso aceptable y procedimientos para el manejo de la información y otros activos asociados.</w:t>
            </w:r>
          </w:p>
        </w:tc>
      </w:tr>
      <w:tr w:rsidR="004A5B94" w:rsidRPr="00C458AE" w14:paraId="04B2DEE1" w14:textId="77777777" w:rsidTr="00F41542">
        <w:trPr>
          <w:trHeight w:val="982"/>
        </w:trPr>
        <w:tc>
          <w:tcPr>
            <w:tcW w:w="3256" w:type="dxa"/>
          </w:tcPr>
          <w:p w14:paraId="00FDF3E5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5.11 Devolución de bienes</w:t>
            </w:r>
          </w:p>
        </w:tc>
        <w:tc>
          <w:tcPr>
            <w:tcW w:w="5572" w:type="dxa"/>
          </w:tcPr>
          <w:p w14:paraId="29823EE0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El personal y otras partes interesadas, según corresponda, deben devolver todos los activos de la organización que estén en su poder al cambiar o terminar su empleo, contrato o acuerdo.</w:t>
            </w:r>
          </w:p>
        </w:tc>
      </w:tr>
      <w:tr w:rsidR="004A5B94" w:rsidRPr="00C458AE" w14:paraId="1AE51FD5" w14:textId="77777777" w:rsidTr="008612B5">
        <w:trPr>
          <w:trHeight w:val="931"/>
        </w:trPr>
        <w:tc>
          <w:tcPr>
            <w:tcW w:w="3256" w:type="dxa"/>
          </w:tcPr>
          <w:p w14:paraId="5D1D1FC9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5.12 Clasificación de la información</w:t>
            </w:r>
          </w:p>
        </w:tc>
        <w:tc>
          <w:tcPr>
            <w:tcW w:w="5572" w:type="dxa"/>
          </w:tcPr>
          <w:p w14:paraId="41595380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La información se debe clasificar según las necesidades de seguridad de la información de la organización en función de la confidencialidad, la integridad, la disponibilidad y los requisitos pertinentes de las partes interesadas.</w:t>
            </w:r>
          </w:p>
        </w:tc>
      </w:tr>
      <w:tr w:rsidR="004A5B94" w:rsidRPr="00C458AE" w14:paraId="57A34653" w14:textId="77777777" w:rsidTr="008612B5">
        <w:trPr>
          <w:trHeight w:val="965"/>
        </w:trPr>
        <w:tc>
          <w:tcPr>
            <w:tcW w:w="3256" w:type="dxa"/>
          </w:tcPr>
          <w:p w14:paraId="6302E90C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lastRenderedPageBreak/>
              <w:t>5.13 Etiquetado de la información</w:t>
            </w:r>
          </w:p>
        </w:tc>
        <w:tc>
          <w:tcPr>
            <w:tcW w:w="5572" w:type="dxa"/>
          </w:tcPr>
          <w:p w14:paraId="01B353D2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Debería elaborarse y aplicarse un conjunto adecuado de procedimientos para el etiquetado de la información de conformidad con el plan de clasificación de la información adoptado por la organización.</w:t>
            </w:r>
          </w:p>
        </w:tc>
      </w:tr>
      <w:tr w:rsidR="004A5B94" w:rsidRPr="00C458AE" w14:paraId="6C897010" w14:textId="77777777" w:rsidTr="008612B5">
        <w:trPr>
          <w:trHeight w:val="1034"/>
        </w:trPr>
        <w:tc>
          <w:tcPr>
            <w:tcW w:w="3256" w:type="dxa"/>
          </w:tcPr>
          <w:p w14:paraId="2DCDD059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5.14 Transferencia de información</w:t>
            </w:r>
          </w:p>
        </w:tc>
        <w:tc>
          <w:tcPr>
            <w:tcW w:w="5572" w:type="dxa"/>
          </w:tcPr>
          <w:p w14:paraId="4BBEA9EB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Se deberían establecer normas, procedimientos o acuerdos de transferencia de información para todos los tipos de facilidades de transferencia dentro de la organización y entre la organización y otras partes.</w:t>
            </w:r>
          </w:p>
        </w:tc>
      </w:tr>
      <w:tr w:rsidR="004A5B94" w:rsidRPr="00C458AE" w14:paraId="41470A1A" w14:textId="77777777" w:rsidTr="008612B5">
        <w:trPr>
          <w:trHeight w:val="992"/>
        </w:trPr>
        <w:tc>
          <w:tcPr>
            <w:tcW w:w="3256" w:type="dxa"/>
          </w:tcPr>
          <w:p w14:paraId="6F9D11E4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5.15 Control de acceso</w:t>
            </w:r>
          </w:p>
        </w:tc>
        <w:tc>
          <w:tcPr>
            <w:tcW w:w="5572" w:type="dxa"/>
          </w:tcPr>
          <w:p w14:paraId="77C4503C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Las reglas para controlar el acceso físico y lógico a la información y otros activos asociados deberían establecerse e implementarse en función de los requisitos de seguridad de la información y del negocio.</w:t>
            </w:r>
          </w:p>
        </w:tc>
      </w:tr>
      <w:tr w:rsidR="004A5B94" w:rsidRPr="00C458AE" w14:paraId="6C46A0F2" w14:textId="77777777" w:rsidTr="008612B5">
        <w:trPr>
          <w:trHeight w:val="339"/>
        </w:trPr>
        <w:tc>
          <w:tcPr>
            <w:tcW w:w="3256" w:type="dxa"/>
          </w:tcPr>
          <w:p w14:paraId="5D5B6E78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5.16 Gestión de identidad</w:t>
            </w:r>
          </w:p>
        </w:tc>
        <w:tc>
          <w:tcPr>
            <w:tcW w:w="5572" w:type="dxa"/>
          </w:tcPr>
          <w:p w14:paraId="17A9E86F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Se debería gestionar todo el ciclo de vida de las identidades.</w:t>
            </w:r>
          </w:p>
        </w:tc>
      </w:tr>
      <w:tr w:rsidR="004A5B94" w:rsidRPr="00C458AE" w14:paraId="5552A132" w14:textId="77777777" w:rsidTr="008612B5">
        <w:trPr>
          <w:trHeight w:val="1053"/>
        </w:trPr>
        <w:tc>
          <w:tcPr>
            <w:tcW w:w="3256" w:type="dxa"/>
          </w:tcPr>
          <w:p w14:paraId="6C994DB6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5.17 Información de autenticación</w:t>
            </w:r>
          </w:p>
        </w:tc>
        <w:tc>
          <w:tcPr>
            <w:tcW w:w="5572" w:type="dxa"/>
          </w:tcPr>
          <w:p w14:paraId="50472B3D" w14:textId="77777777" w:rsidR="004A5B94" w:rsidRPr="00C458AE" w:rsidRDefault="004A5B94" w:rsidP="008612B5">
            <w:pPr>
              <w:tabs>
                <w:tab w:val="left" w:pos="977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La asignación y gestión de la información de autenticación debería controlarse mediante un proceso de gestión, que incluya el asesoramiento del personal sobre el tratamiento adecuado de la información de autenticación.</w:t>
            </w:r>
          </w:p>
        </w:tc>
      </w:tr>
      <w:tr w:rsidR="004A5B94" w:rsidRPr="00C458AE" w14:paraId="2B23D7F5" w14:textId="77777777" w:rsidTr="00F41542">
        <w:trPr>
          <w:trHeight w:val="1083"/>
        </w:trPr>
        <w:tc>
          <w:tcPr>
            <w:tcW w:w="3256" w:type="dxa"/>
          </w:tcPr>
          <w:p w14:paraId="5DFED36E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5.18 Derechos de acceso</w:t>
            </w:r>
          </w:p>
        </w:tc>
        <w:tc>
          <w:tcPr>
            <w:tcW w:w="5572" w:type="dxa"/>
          </w:tcPr>
          <w:p w14:paraId="1401FBC1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Los derechos de acceso a la información y a otros activos asociados se deberían aprovisionar, revisar, modificar y eliminar de acuerdo con la política y las reglas de control de acceso específicas del tema de la organización.</w:t>
            </w:r>
          </w:p>
        </w:tc>
      </w:tr>
      <w:tr w:rsidR="004A5B94" w:rsidRPr="00C458AE" w14:paraId="1DFE65E6" w14:textId="77777777" w:rsidTr="008612B5">
        <w:trPr>
          <w:trHeight w:val="983"/>
        </w:trPr>
        <w:tc>
          <w:tcPr>
            <w:tcW w:w="3256" w:type="dxa"/>
          </w:tcPr>
          <w:p w14:paraId="1920985D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5.19 Seguridad de la información en las relaciones con proveedores</w:t>
            </w:r>
          </w:p>
        </w:tc>
        <w:tc>
          <w:tcPr>
            <w:tcW w:w="5572" w:type="dxa"/>
          </w:tcPr>
          <w:p w14:paraId="1281F0C5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Deberían definirse e implementarse procesos y procedimientos para gestionar los riesgos de seguridad de la información asociados con el uso de los productos o servicios del proveedor.</w:t>
            </w:r>
          </w:p>
        </w:tc>
      </w:tr>
      <w:tr w:rsidR="004A5B94" w:rsidRPr="00C458AE" w14:paraId="3BC1B84D" w14:textId="77777777" w:rsidTr="008612B5">
        <w:trPr>
          <w:trHeight w:val="769"/>
        </w:trPr>
        <w:tc>
          <w:tcPr>
            <w:tcW w:w="3256" w:type="dxa"/>
          </w:tcPr>
          <w:p w14:paraId="4397E21A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5.20 Abordar la seguridad de la información en los acuerdos con los proveedores</w:t>
            </w:r>
          </w:p>
        </w:tc>
        <w:tc>
          <w:tcPr>
            <w:tcW w:w="5572" w:type="dxa"/>
          </w:tcPr>
          <w:p w14:paraId="34C9C61B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Los requisitos de seguridad de la información pertinentes deberían establecerse y acordarse con cada proveedor en función del tipo de relación con el proveedor.</w:t>
            </w:r>
          </w:p>
        </w:tc>
      </w:tr>
      <w:tr w:rsidR="004A5B94" w:rsidRPr="00C458AE" w14:paraId="7453B3D4" w14:textId="77777777" w:rsidTr="008612B5">
        <w:trPr>
          <w:trHeight w:val="1051"/>
        </w:trPr>
        <w:tc>
          <w:tcPr>
            <w:tcW w:w="3256" w:type="dxa"/>
          </w:tcPr>
          <w:p w14:paraId="11C8282F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5.21 Gestión de la seguridad de la información en la cadena de suministros de TIC</w:t>
            </w:r>
          </w:p>
        </w:tc>
        <w:tc>
          <w:tcPr>
            <w:tcW w:w="5572" w:type="dxa"/>
          </w:tcPr>
          <w:p w14:paraId="46BA4E1E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Deberían definirse y aplicarse procesos y procedimientos para gestionar los riesgos de seguridad de la información asociados a la cadena de suministro de productos y servicios de TIC.</w:t>
            </w:r>
          </w:p>
        </w:tc>
      </w:tr>
      <w:tr w:rsidR="004A5B94" w:rsidRPr="00C458AE" w14:paraId="3E655AD2" w14:textId="77777777" w:rsidTr="008612B5">
        <w:trPr>
          <w:trHeight w:val="965"/>
        </w:trPr>
        <w:tc>
          <w:tcPr>
            <w:tcW w:w="3256" w:type="dxa"/>
          </w:tcPr>
          <w:p w14:paraId="4A26D18A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 xml:space="preserve">5.22 Seguimiento, revisión y gestión de cambios de servicios de proveedores </w:t>
            </w:r>
          </w:p>
        </w:tc>
        <w:tc>
          <w:tcPr>
            <w:tcW w:w="5572" w:type="dxa"/>
          </w:tcPr>
          <w:p w14:paraId="4E4168FC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La organización debería supervisar, revisar, evaluar y gestionar regularmente los cambios en las prácticas de seguridad de la información del proveedor y en la prestación de servicios.</w:t>
            </w:r>
          </w:p>
        </w:tc>
      </w:tr>
      <w:tr w:rsidR="004A5B94" w:rsidRPr="00C458AE" w14:paraId="28EE61F2" w14:textId="77777777" w:rsidTr="008612B5">
        <w:trPr>
          <w:trHeight w:val="978"/>
        </w:trPr>
        <w:tc>
          <w:tcPr>
            <w:tcW w:w="3256" w:type="dxa"/>
          </w:tcPr>
          <w:p w14:paraId="515A0ADF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5.23 Seguridad de la información para el uso de servicios en la nube</w:t>
            </w:r>
          </w:p>
        </w:tc>
        <w:tc>
          <w:tcPr>
            <w:tcW w:w="5572" w:type="dxa"/>
          </w:tcPr>
          <w:p w14:paraId="065FEC06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Los procesos de adquisición, uso, gestión y salida de los servicios en la nube deberían establecerse de acuerdo con los requisitos de seguridad de la información de la organización.</w:t>
            </w:r>
          </w:p>
        </w:tc>
      </w:tr>
      <w:tr w:rsidR="004A5B94" w:rsidRPr="00C458AE" w14:paraId="6C1B8922" w14:textId="77777777" w:rsidTr="008612B5">
        <w:trPr>
          <w:trHeight w:val="1292"/>
        </w:trPr>
        <w:tc>
          <w:tcPr>
            <w:tcW w:w="3256" w:type="dxa"/>
          </w:tcPr>
          <w:p w14:paraId="5C304A7E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5.24 Planificación y preparación de la gestión de incidentes de seguridad de la información</w:t>
            </w:r>
          </w:p>
        </w:tc>
        <w:tc>
          <w:tcPr>
            <w:tcW w:w="5572" w:type="dxa"/>
          </w:tcPr>
          <w:p w14:paraId="43A6ABD9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La organización debería planificar y prepararse para gestionar los incidentes de seguridad de la información definiendo, estableciendo y comunicando los procesos, funciones y responsabilidades de gestión de incidentes de seguridad de la información.</w:t>
            </w:r>
          </w:p>
        </w:tc>
      </w:tr>
      <w:tr w:rsidR="004A5B94" w:rsidRPr="00C458AE" w14:paraId="0A47DEEF" w14:textId="77777777" w:rsidTr="008612B5">
        <w:trPr>
          <w:trHeight w:val="828"/>
        </w:trPr>
        <w:tc>
          <w:tcPr>
            <w:tcW w:w="3256" w:type="dxa"/>
          </w:tcPr>
          <w:p w14:paraId="7768CD5E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lastRenderedPageBreak/>
              <w:t>5.25 Evaluación y decisión sobre eventos de seguridad de la información</w:t>
            </w:r>
          </w:p>
        </w:tc>
        <w:tc>
          <w:tcPr>
            <w:tcW w:w="5572" w:type="dxa"/>
          </w:tcPr>
          <w:p w14:paraId="0A9B7E45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La organización debería evaluar los eventos de seguridad de la información y decidir si se deben clasificar como incidentes de seguridad de la información.</w:t>
            </w:r>
          </w:p>
        </w:tc>
      </w:tr>
      <w:tr w:rsidR="004A5B94" w:rsidRPr="00C458AE" w14:paraId="044E0D41" w14:textId="77777777" w:rsidTr="00F41542">
        <w:trPr>
          <w:trHeight w:val="836"/>
        </w:trPr>
        <w:tc>
          <w:tcPr>
            <w:tcW w:w="3256" w:type="dxa"/>
          </w:tcPr>
          <w:p w14:paraId="02401D57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5.26 Respuesta a incidentes de seguridad de la información</w:t>
            </w:r>
          </w:p>
        </w:tc>
        <w:tc>
          <w:tcPr>
            <w:tcW w:w="5572" w:type="dxa"/>
          </w:tcPr>
          <w:p w14:paraId="70B25404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Los incidentes de seguridad de la información deben ser respondidos de conformidad con los procedimientos documentados.</w:t>
            </w:r>
          </w:p>
        </w:tc>
      </w:tr>
      <w:tr w:rsidR="004A5B94" w:rsidRPr="00C458AE" w14:paraId="1EC5D9CD" w14:textId="77777777" w:rsidTr="00F41542">
        <w:trPr>
          <w:trHeight w:val="846"/>
        </w:trPr>
        <w:tc>
          <w:tcPr>
            <w:tcW w:w="3256" w:type="dxa"/>
          </w:tcPr>
          <w:p w14:paraId="415F1B1B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5.27 Aprendiendo de los incidentes de seguridad de la información</w:t>
            </w:r>
          </w:p>
        </w:tc>
        <w:tc>
          <w:tcPr>
            <w:tcW w:w="5572" w:type="dxa"/>
          </w:tcPr>
          <w:p w14:paraId="789F9FE4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Los conocimientos obtenidos de los incidentes de seguridad de la información deberían utilizarse para reforzar y mejorar los controles de seguridad de la información</w:t>
            </w:r>
          </w:p>
        </w:tc>
      </w:tr>
      <w:tr w:rsidR="004A5B94" w:rsidRPr="00C458AE" w14:paraId="1662F4E7" w14:textId="77777777" w:rsidTr="00F41542">
        <w:trPr>
          <w:trHeight w:val="985"/>
        </w:trPr>
        <w:tc>
          <w:tcPr>
            <w:tcW w:w="3256" w:type="dxa"/>
          </w:tcPr>
          <w:p w14:paraId="27415D93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5.28 Recopilación de pruebas</w:t>
            </w:r>
          </w:p>
        </w:tc>
        <w:tc>
          <w:tcPr>
            <w:tcW w:w="5572" w:type="dxa"/>
          </w:tcPr>
          <w:p w14:paraId="11AF8A8D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La organización debería establecer e implementar procedimientos para la identificación, recolección, adquisición y preservación de pruebas relacionadas con eventos de seguridad de la información.</w:t>
            </w:r>
          </w:p>
        </w:tc>
      </w:tr>
      <w:tr w:rsidR="004A5B94" w:rsidRPr="00C458AE" w14:paraId="0139604F" w14:textId="77777777" w:rsidTr="00F41542">
        <w:trPr>
          <w:trHeight w:val="757"/>
        </w:trPr>
        <w:tc>
          <w:tcPr>
            <w:tcW w:w="3256" w:type="dxa"/>
          </w:tcPr>
          <w:p w14:paraId="6D5A05CD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5.29 Seguridad de la información durante la interrupción</w:t>
            </w:r>
          </w:p>
        </w:tc>
        <w:tc>
          <w:tcPr>
            <w:tcW w:w="5572" w:type="dxa"/>
          </w:tcPr>
          <w:p w14:paraId="319D790B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La organización debería planificar cómo mantener la seguridad de la información en un nivel adecuado durante la interrupción.</w:t>
            </w:r>
          </w:p>
        </w:tc>
      </w:tr>
      <w:tr w:rsidR="004A5B94" w:rsidRPr="00C458AE" w14:paraId="0C47E7BA" w14:textId="77777777" w:rsidTr="00F41542">
        <w:trPr>
          <w:trHeight w:val="1068"/>
        </w:trPr>
        <w:tc>
          <w:tcPr>
            <w:tcW w:w="3256" w:type="dxa"/>
          </w:tcPr>
          <w:p w14:paraId="11306ADA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5.30 Preparación de las TIC para la continuidad del negocio</w:t>
            </w:r>
          </w:p>
        </w:tc>
        <w:tc>
          <w:tcPr>
            <w:tcW w:w="5572" w:type="dxa"/>
          </w:tcPr>
          <w:p w14:paraId="097FF0DC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4133">
              <w:rPr>
                <w:rFonts w:ascii="Arial" w:hAnsi="Arial" w:cs="Arial"/>
                <w:sz w:val="20"/>
                <w:szCs w:val="20"/>
              </w:rPr>
              <w:t>La preparación para las TIC debería planificarse, implementarse, mantenerse y probarse sobre la base de los objetivos de continuidad empresarial y los requisitos de continuidad de las TIC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4A5B94" w:rsidRPr="00C458AE" w14:paraId="3297BDE9" w14:textId="77777777" w:rsidTr="008612B5">
        <w:trPr>
          <w:trHeight w:val="1198"/>
        </w:trPr>
        <w:tc>
          <w:tcPr>
            <w:tcW w:w="3256" w:type="dxa"/>
          </w:tcPr>
          <w:p w14:paraId="3D918474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5.31 Requisitos legales, estatutarios, reglamentarios y contractuales</w:t>
            </w:r>
          </w:p>
        </w:tc>
        <w:tc>
          <w:tcPr>
            <w:tcW w:w="5572" w:type="dxa"/>
          </w:tcPr>
          <w:p w14:paraId="129328FA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4133">
              <w:rPr>
                <w:rFonts w:ascii="Arial" w:hAnsi="Arial" w:cs="Arial"/>
                <w:sz w:val="20"/>
                <w:szCs w:val="20"/>
              </w:rPr>
              <w:t>Los requisitos legales, estatutarios, reglamentarios y contractuales relevantes para la seguridad de la información y el enfoque de la organización para cumplir con estos requisitos deberían ser identificados, documentados y actualizados.</w:t>
            </w:r>
          </w:p>
        </w:tc>
      </w:tr>
      <w:tr w:rsidR="004A5B94" w:rsidRPr="00C458AE" w14:paraId="5A47A684" w14:textId="77777777" w:rsidTr="00F41542">
        <w:trPr>
          <w:trHeight w:val="772"/>
        </w:trPr>
        <w:tc>
          <w:tcPr>
            <w:tcW w:w="3256" w:type="dxa"/>
          </w:tcPr>
          <w:p w14:paraId="025D6B3D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5.32 Derechos de propiedad intelectual</w:t>
            </w:r>
          </w:p>
        </w:tc>
        <w:tc>
          <w:tcPr>
            <w:tcW w:w="5572" w:type="dxa"/>
          </w:tcPr>
          <w:p w14:paraId="54E7C399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4133">
              <w:rPr>
                <w:rFonts w:ascii="Arial" w:hAnsi="Arial" w:cs="Arial"/>
                <w:sz w:val="20"/>
                <w:szCs w:val="20"/>
              </w:rPr>
              <w:t>La organización debería aplicar los procedimientos apropiados para proteger los derechos de propiedad intelectual.</w:t>
            </w:r>
          </w:p>
        </w:tc>
      </w:tr>
      <w:tr w:rsidR="004A5B94" w:rsidRPr="00C458AE" w14:paraId="52FE860B" w14:textId="77777777" w:rsidTr="008612B5">
        <w:trPr>
          <w:trHeight w:val="763"/>
        </w:trPr>
        <w:tc>
          <w:tcPr>
            <w:tcW w:w="3256" w:type="dxa"/>
          </w:tcPr>
          <w:p w14:paraId="09CBEFF2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5.33 Protección de registros</w:t>
            </w:r>
          </w:p>
        </w:tc>
        <w:tc>
          <w:tcPr>
            <w:tcW w:w="5572" w:type="dxa"/>
          </w:tcPr>
          <w:p w14:paraId="6FC0D028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4133">
              <w:rPr>
                <w:rFonts w:ascii="Arial" w:hAnsi="Arial" w:cs="Arial"/>
                <w:sz w:val="20"/>
                <w:szCs w:val="20"/>
              </w:rPr>
              <w:t>Los registros deberían estar protegidos de pérdidas, destrucción, falsificación, acceso no autorizado y liberación no autorizada.</w:t>
            </w:r>
          </w:p>
        </w:tc>
      </w:tr>
      <w:tr w:rsidR="004A5B94" w:rsidRPr="00C458AE" w14:paraId="394EF7A4" w14:textId="77777777" w:rsidTr="00F41542">
        <w:trPr>
          <w:trHeight w:val="1037"/>
        </w:trPr>
        <w:tc>
          <w:tcPr>
            <w:tcW w:w="3256" w:type="dxa"/>
          </w:tcPr>
          <w:p w14:paraId="0969230D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5.34 Privacidad y protección de PII</w:t>
            </w:r>
          </w:p>
        </w:tc>
        <w:tc>
          <w:tcPr>
            <w:tcW w:w="5572" w:type="dxa"/>
          </w:tcPr>
          <w:p w14:paraId="21724F0A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4133">
              <w:rPr>
                <w:rFonts w:ascii="Arial" w:hAnsi="Arial" w:cs="Arial"/>
                <w:sz w:val="20"/>
                <w:szCs w:val="20"/>
              </w:rPr>
              <w:t>La organización debería identificar y cumplir con los requisitos relativos a la preservación de la privacidad y la protección de la IIP de acuerdo con las leyes y reglamentos aplicables y los requisitos contractuales.</w:t>
            </w:r>
          </w:p>
        </w:tc>
      </w:tr>
      <w:tr w:rsidR="004A5B94" w:rsidRPr="00C458AE" w14:paraId="1552E999" w14:textId="77777777" w:rsidTr="008612B5">
        <w:trPr>
          <w:trHeight w:val="1242"/>
        </w:trPr>
        <w:tc>
          <w:tcPr>
            <w:tcW w:w="3256" w:type="dxa"/>
          </w:tcPr>
          <w:p w14:paraId="257F3395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5.35 Revisión independiente de la seguridad de la información</w:t>
            </w:r>
          </w:p>
        </w:tc>
        <w:tc>
          <w:tcPr>
            <w:tcW w:w="5572" w:type="dxa"/>
          </w:tcPr>
          <w:p w14:paraId="1BEAAF47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4133">
              <w:rPr>
                <w:rFonts w:ascii="Arial" w:hAnsi="Arial" w:cs="Arial"/>
                <w:sz w:val="20"/>
                <w:szCs w:val="20"/>
              </w:rPr>
              <w:t>El enfoque de la organización para gestionar la seguridad de la información y su implementación, incluidas las personas, los procesos y las tecnologías, debería revisarse de forma independiente a intervalos planificados o cuando se produzcan cambios significativos.</w:t>
            </w:r>
          </w:p>
        </w:tc>
      </w:tr>
      <w:tr w:rsidR="004A5B94" w:rsidRPr="00C458AE" w14:paraId="3D01E520" w14:textId="77777777" w:rsidTr="008612B5">
        <w:trPr>
          <w:trHeight w:val="977"/>
        </w:trPr>
        <w:tc>
          <w:tcPr>
            <w:tcW w:w="3256" w:type="dxa"/>
          </w:tcPr>
          <w:p w14:paraId="28D84BE7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5.36 Cumplimiento de políticas, normas y estándares de seguridad de la información</w:t>
            </w:r>
          </w:p>
        </w:tc>
        <w:tc>
          <w:tcPr>
            <w:tcW w:w="5572" w:type="dxa"/>
          </w:tcPr>
          <w:p w14:paraId="0CE4B509" w14:textId="77777777" w:rsidR="004A5B94" w:rsidRPr="00164133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4133">
              <w:rPr>
                <w:rFonts w:ascii="Arial" w:hAnsi="Arial" w:cs="Arial"/>
                <w:sz w:val="20"/>
                <w:szCs w:val="20"/>
              </w:rPr>
              <w:t>El cumplimiento de la política de seguridad de la información de la organización, las políticas, las reglas y los estándares específicos de cada tema deberían revisarse periódicamente.</w:t>
            </w:r>
          </w:p>
        </w:tc>
      </w:tr>
      <w:tr w:rsidR="004A5B94" w:rsidRPr="00C458AE" w14:paraId="7D623797" w14:textId="77777777" w:rsidTr="008612B5">
        <w:trPr>
          <w:trHeight w:val="1035"/>
        </w:trPr>
        <w:tc>
          <w:tcPr>
            <w:tcW w:w="3256" w:type="dxa"/>
          </w:tcPr>
          <w:p w14:paraId="0CBFC1B6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lastRenderedPageBreak/>
              <w:t>5.37 Procedimientos operativos documentados</w:t>
            </w:r>
          </w:p>
        </w:tc>
        <w:tc>
          <w:tcPr>
            <w:tcW w:w="5572" w:type="dxa"/>
          </w:tcPr>
          <w:p w14:paraId="337728BA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4133">
              <w:rPr>
                <w:rFonts w:ascii="Arial" w:hAnsi="Arial" w:cs="Arial"/>
                <w:sz w:val="20"/>
                <w:szCs w:val="20"/>
              </w:rPr>
              <w:t>Los procedimientos operativos para las instalaciones de procesamiento de la información deberían estar documentados y disponibles para el personal que los necesite.</w:t>
            </w:r>
          </w:p>
        </w:tc>
      </w:tr>
      <w:tr w:rsidR="004A5B94" w:rsidRPr="00C458AE" w14:paraId="3E933DB7" w14:textId="77777777" w:rsidTr="008612B5">
        <w:trPr>
          <w:trHeight w:val="431"/>
        </w:trPr>
        <w:tc>
          <w:tcPr>
            <w:tcW w:w="8828" w:type="dxa"/>
            <w:gridSpan w:val="2"/>
          </w:tcPr>
          <w:p w14:paraId="3BFB9BC2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b/>
                <w:bCs/>
                <w:sz w:val="20"/>
                <w:szCs w:val="20"/>
              </w:rPr>
              <w:t>6. Controles de personas</w:t>
            </w:r>
          </w:p>
        </w:tc>
      </w:tr>
      <w:tr w:rsidR="004A5B94" w:rsidRPr="00C458AE" w14:paraId="2EB1B2AC" w14:textId="77777777" w:rsidTr="008612B5">
        <w:trPr>
          <w:trHeight w:val="1705"/>
        </w:trPr>
        <w:tc>
          <w:tcPr>
            <w:tcW w:w="3256" w:type="dxa"/>
          </w:tcPr>
          <w:p w14:paraId="31B35FF6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6.1 Cifrado</w:t>
            </w:r>
          </w:p>
        </w:tc>
        <w:tc>
          <w:tcPr>
            <w:tcW w:w="5572" w:type="dxa"/>
          </w:tcPr>
          <w:p w14:paraId="497528F9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4133">
              <w:rPr>
                <w:rFonts w:ascii="Arial" w:hAnsi="Arial" w:cs="Arial"/>
                <w:sz w:val="20"/>
                <w:szCs w:val="20"/>
              </w:rPr>
              <w:t>Las verificaciones de los antecedentes de todos los candidatos a convertirse en personal deberían llevarse a cabo antes de incorporarse a la organización y de forma continuada, tomando en consideración las leyes, los reglamentos y la ética aplicables y ser proporcionales a los requisitos de la empresa, la clasificación de la información a la que se va a acceder y los riesgos percibidos.</w:t>
            </w:r>
          </w:p>
        </w:tc>
      </w:tr>
      <w:tr w:rsidR="004A5B94" w:rsidRPr="00C458AE" w14:paraId="2812A840" w14:textId="77777777" w:rsidTr="008612B5">
        <w:trPr>
          <w:trHeight w:val="807"/>
        </w:trPr>
        <w:tc>
          <w:tcPr>
            <w:tcW w:w="3256" w:type="dxa"/>
          </w:tcPr>
          <w:p w14:paraId="72203EA2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6.2 Términos y condiciones del empleo</w:t>
            </w:r>
          </w:p>
        </w:tc>
        <w:tc>
          <w:tcPr>
            <w:tcW w:w="5572" w:type="dxa"/>
          </w:tcPr>
          <w:p w14:paraId="5A0FB7FF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4133">
              <w:rPr>
                <w:rFonts w:ascii="Arial" w:hAnsi="Arial" w:cs="Arial"/>
                <w:sz w:val="20"/>
                <w:szCs w:val="20"/>
              </w:rPr>
              <w:t>Los acuerdos contractuales de empleo deberían indicar las responsabilidades del personal y de la organización en materia de seguridad de la información.</w:t>
            </w:r>
          </w:p>
        </w:tc>
      </w:tr>
      <w:tr w:rsidR="004A5B94" w:rsidRPr="00C458AE" w14:paraId="3B8792EC" w14:textId="77777777" w:rsidTr="008612B5">
        <w:trPr>
          <w:trHeight w:val="850"/>
        </w:trPr>
        <w:tc>
          <w:tcPr>
            <w:tcW w:w="3256" w:type="dxa"/>
          </w:tcPr>
          <w:p w14:paraId="6ECD6754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6.3 Concientización, educación y capacitación en seguridad de la información</w:t>
            </w:r>
          </w:p>
        </w:tc>
        <w:tc>
          <w:tcPr>
            <w:tcW w:w="5572" w:type="dxa"/>
          </w:tcPr>
          <w:p w14:paraId="5901F7AD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4133">
              <w:rPr>
                <w:rFonts w:ascii="Arial" w:hAnsi="Arial" w:cs="Arial"/>
                <w:sz w:val="20"/>
                <w:szCs w:val="20"/>
              </w:rPr>
              <w:t>El personal de la organización y las partes interesadas pertinentes deberían recibir una sensibilización, educación y formación adecuadas en materia de seguridad de la información, así como actualizaciones periódicas de la política de seguridad de la información de la organización y de las políticas y procedimientos específicos, según sea pertinente para su función laboral.</w:t>
            </w:r>
          </w:p>
        </w:tc>
      </w:tr>
      <w:tr w:rsidR="004A5B94" w:rsidRPr="00C458AE" w14:paraId="77C452AC" w14:textId="77777777" w:rsidTr="008612B5">
        <w:trPr>
          <w:trHeight w:val="976"/>
        </w:trPr>
        <w:tc>
          <w:tcPr>
            <w:tcW w:w="3256" w:type="dxa"/>
          </w:tcPr>
          <w:p w14:paraId="5B1C30DD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6.4 Proceso disciplinario</w:t>
            </w:r>
          </w:p>
        </w:tc>
        <w:tc>
          <w:tcPr>
            <w:tcW w:w="5572" w:type="dxa"/>
          </w:tcPr>
          <w:p w14:paraId="638B72E9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4133">
              <w:rPr>
                <w:rFonts w:ascii="Arial" w:hAnsi="Arial" w:cs="Arial"/>
                <w:sz w:val="20"/>
                <w:szCs w:val="20"/>
              </w:rPr>
              <w:t>Se debería formalizar y comunicar un proceso disciplinario para tomar medidas contra el personal y otras partes interesadas pertinentes que hayan cometido una violación de la política de seguridad de la información.</w:t>
            </w:r>
          </w:p>
        </w:tc>
      </w:tr>
      <w:tr w:rsidR="004A5B94" w:rsidRPr="00C458AE" w14:paraId="4A8535D4" w14:textId="77777777" w:rsidTr="008612B5">
        <w:trPr>
          <w:trHeight w:val="1272"/>
        </w:trPr>
        <w:tc>
          <w:tcPr>
            <w:tcW w:w="3256" w:type="dxa"/>
          </w:tcPr>
          <w:p w14:paraId="41A47E41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6.5 Responsabilidades después de la terminación o cambio de empleo</w:t>
            </w:r>
          </w:p>
        </w:tc>
        <w:tc>
          <w:tcPr>
            <w:tcW w:w="5572" w:type="dxa"/>
          </w:tcPr>
          <w:p w14:paraId="5E8C617F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4133">
              <w:rPr>
                <w:rFonts w:ascii="Arial" w:hAnsi="Arial" w:cs="Arial"/>
                <w:sz w:val="20"/>
                <w:szCs w:val="20"/>
              </w:rPr>
              <w:t>Las responsabilidades y deberes de seguridad de la información que siguen siendo válidos después de la terminación o el cambio de empleo deberían definirse, aplicarse y comunicarse al personal pertinente y a otras partes interesadas.</w:t>
            </w:r>
          </w:p>
        </w:tc>
      </w:tr>
      <w:tr w:rsidR="004A5B94" w:rsidRPr="00C458AE" w14:paraId="78F3B479" w14:textId="77777777" w:rsidTr="008612B5">
        <w:trPr>
          <w:trHeight w:val="1263"/>
        </w:trPr>
        <w:tc>
          <w:tcPr>
            <w:tcW w:w="3256" w:type="dxa"/>
          </w:tcPr>
          <w:p w14:paraId="736EE70C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 xml:space="preserve">6.6 Acuerdos de confidencialidad o no divulgación </w:t>
            </w:r>
          </w:p>
        </w:tc>
        <w:tc>
          <w:tcPr>
            <w:tcW w:w="5572" w:type="dxa"/>
          </w:tcPr>
          <w:p w14:paraId="00A299D2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4133">
              <w:rPr>
                <w:rFonts w:ascii="Arial" w:hAnsi="Arial" w:cs="Arial"/>
                <w:sz w:val="20"/>
                <w:szCs w:val="20"/>
              </w:rPr>
              <w:t>Los acuerdos de confidencialidad o no divulgación que reflejen las necesidades de la organización para la protección de la información deberían ser identificados, documentados, revisados y firmados regularmente por el personal y otras partes interesadas pertinentes.</w:t>
            </w:r>
          </w:p>
        </w:tc>
      </w:tr>
      <w:tr w:rsidR="004A5B94" w:rsidRPr="00C458AE" w14:paraId="17EC6A43" w14:textId="77777777" w:rsidTr="008612B5">
        <w:trPr>
          <w:trHeight w:val="983"/>
        </w:trPr>
        <w:tc>
          <w:tcPr>
            <w:tcW w:w="3256" w:type="dxa"/>
          </w:tcPr>
          <w:p w14:paraId="385F8616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6.7 Trabajo a distancia</w:t>
            </w:r>
          </w:p>
        </w:tc>
        <w:tc>
          <w:tcPr>
            <w:tcW w:w="5572" w:type="dxa"/>
          </w:tcPr>
          <w:p w14:paraId="43A7D03C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4133">
              <w:rPr>
                <w:rFonts w:ascii="Arial" w:hAnsi="Arial" w:cs="Arial"/>
                <w:sz w:val="20"/>
                <w:szCs w:val="20"/>
              </w:rPr>
              <w:t>Las medidas de seguridad deberían implementarse cuando el personal trabaja de forma remota para proteger la información a la que se accede, procesa o almacena fuera de las instalaciones de la organización.</w:t>
            </w:r>
          </w:p>
        </w:tc>
      </w:tr>
      <w:tr w:rsidR="004A5B94" w:rsidRPr="00C458AE" w14:paraId="018A90E2" w14:textId="77777777" w:rsidTr="008612B5">
        <w:trPr>
          <w:trHeight w:val="969"/>
        </w:trPr>
        <w:tc>
          <w:tcPr>
            <w:tcW w:w="3256" w:type="dxa"/>
          </w:tcPr>
          <w:p w14:paraId="63B5455C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6.8 Reporte de eventos de seguridad de la información</w:t>
            </w:r>
          </w:p>
        </w:tc>
        <w:tc>
          <w:tcPr>
            <w:tcW w:w="5572" w:type="dxa"/>
          </w:tcPr>
          <w:p w14:paraId="3C32BD07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4133">
              <w:rPr>
                <w:rFonts w:ascii="Arial" w:hAnsi="Arial" w:cs="Arial"/>
                <w:sz w:val="20"/>
                <w:szCs w:val="20"/>
              </w:rPr>
              <w:t>La organización debería proporcionar un mecanismo para que el personal informe sobre los eventos de seguridad de la información observados o sospechosos a través de los canales apropiados de manera oportuna.</w:t>
            </w:r>
          </w:p>
        </w:tc>
      </w:tr>
      <w:tr w:rsidR="004A5B94" w:rsidRPr="00C458AE" w14:paraId="5918C0A2" w14:textId="77777777" w:rsidTr="008612B5">
        <w:trPr>
          <w:trHeight w:val="382"/>
        </w:trPr>
        <w:tc>
          <w:tcPr>
            <w:tcW w:w="8828" w:type="dxa"/>
            <w:gridSpan w:val="2"/>
          </w:tcPr>
          <w:p w14:paraId="3BE4F1B0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b/>
                <w:bCs/>
                <w:sz w:val="20"/>
                <w:szCs w:val="20"/>
              </w:rPr>
              <w:t>7. Controles físicos</w:t>
            </w:r>
          </w:p>
        </w:tc>
      </w:tr>
      <w:tr w:rsidR="004A5B94" w:rsidRPr="00C458AE" w14:paraId="729D2E21" w14:textId="77777777" w:rsidTr="008612B5">
        <w:trPr>
          <w:trHeight w:val="747"/>
        </w:trPr>
        <w:tc>
          <w:tcPr>
            <w:tcW w:w="3256" w:type="dxa"/>
          </w:tcPr>
          <w:p w14:paraId="25A2E809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lastRenderedPageBreak/>
              <w:t>7.1 Perímetros de seguridad de la información</w:t>
            </w:r>
          </w:p>
        </w:tc>
        <w:tc>
          <w:tcPr>
            <w:tcW w:w="5572" w:type="dxa"/>
          </w:tcPr>
          <w:p w14:paraId="75AC6B4C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4133">
              <w:rPr>
                <w:rFonts w:ascii="Arial" w:hAnsi="Arial" w:cs="Arial"/>
                <w:sz w:val="20"/>
                <w:szCs w:val="20"/>
              </w:rPr>
              <w:t>Los perímetros de seguridad deberían definirse y utilizarse para proteger las áreas que contienen información y otros activos asociados.</w:t>
            </w:r>
          </w:p>
        </w:tc>
      </w:tr>
      <w:tr w:rsidR="004A5B94" w:rsidRPr="00C458AE" w14:paraId="20E4DB76" w14:textId="77777777" w:rsidTr="008612B5">
        <w:tc>
          <w:tcPr>
            <w:tcW w:w="3256" w:type="dxa"/>
          </w:tcPr>
          <w:p w14:paraId="12FF9B02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7.2 Entrada física</w:t>
            </w:r>
          </w:p>
        </w:tc>
        <w:tc>
          <w:tcPr>
            <w:tcW w:w="5572" w:type="dxa"/>
          </w:tcPr>
          <w:p w14:paraId="72EA484E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4133">
              <w:rPr>
                <w:rFonts w:ascii="Arial" w:hAnsi="Arial" w:cs="Arial"/>
                <w:sz w:val="20"/>
                <w:szCs w:val="20"/>
              </w:rPr>
              <w:t>Las áreas seguras deberían protegerse mediante controles de entrada y puntos de acceso adecuados.</w:t>
            </w:r>
          </w:p>
        </w:tc>
      </w:tr>
      <w:tr w:rsidR="004A5B94" w:rsidRPr="00C458AE" w14:paraId="12BC51FD" w14:textId="77777777" w:rsidTr="008612B5">
        <w:trPr>
          <w:trHeight w:val="552"/>
        </w:trPr>
        <w:tc>
          <w:tcPr>
            <w:tcW w:w="3256" w:type="dxa"/>
          </w:tcPr>
          <w:p w14:paraId="06C412EA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7.3 Aseguramientos de oficinas, salas e instalaciones</w:t>
            </w:r>
          </w:p>
        </w:tc>
        <w:tc>
          <w:tcPr>
            <w:tcW w:w="5572" w:type="dxa"/>
          </w:tcPr>
          <w:p w14:paraId="2B1654B4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4133">
              <w:rPr>
                <w:rFonts w:ascii="Arial" w:hAnsi="Arial" w:cs="Arial"/>
                <w:sz w:val="20"/>
                <w:szCs w:val="20"/>
              </w:rPr>
              <w:t>Se debería diseñar e implementar la seguridad física de las oficinas, salas e instalaciones.</w:t>
            </w:r>
          </w:p>
        </w:tc>
      </w:tr>
      <w:tr w:rsidR="004A5B94" w:rsidRPr="00C458AE" w14:paraId="1AC41990" w14:textId="77777777" w:rsidTr="008612B5">
        <w:trPr>
          <w:trHeight w:val="516"/>
        </w:trPr>
        <w:tc>
          <w:tcPr>
            <w:tcW w:w="3256" w:type="dxa"/>
          </w:tcPr>
          <w:p w14:paraId="5DA20D28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7.4 Supervisión de la seguridad física</w:t>
            </w:r>
          </w:p>
        </w:tc>
        <w:tc>
          <w:tcPr>
            <w:tcW w:w="5572" w:type="dxa"/>
          </w:tcPr>
          <w:p w14:paraId="2CDFA4DA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4133">
              <w:rPr>
                <w:rFonts w:ascii="Arial" w:hAnsi="Arial" w:cs="Arial"/>
                <w:sz w:val="20"/>
                <w:szCs w:val="20"/>
              </w:rPr>
              <w:t>Las instalaciones deberían ser vigiladas continuamente para el acceso físico no autorizado.</w:t>
            </w:r>
          </w:p>
        </w:tc>
      </w:tr>
      <w:tr w:rsidR="004A5B94" w:rsidRPr="00C458AE" w14:paraId="3511F232" w14:textId="77777777" w:rsidTr="008612B5">
        <w:trPr>
          <w:trHeight w:val="979"/>
        </w:trPr>
        <w:tc>
          <w:tcPr>
            <w:tcW w:w="3256" w:type="dxa"/>
          </w:tcPr>
          <w:p w14:paraId="70155F09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7.5 Protección contra amenazas físicas y ambientales</w:t>
            </w:r>
          </w:p>
        </w:tc>
        <w:tc>
          <w:tcPr>
            <w:tcW w:w="5572" w:type="dxa"/>
          </w:tcPr>
          <w:p w14:paraId="7EEBBF2C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4133">
              <w:rPr>
                <w:rFonts w:ascii="Arial" w:hAnsi="Arial" w:cs="Arial"/>
                <w:sz w:val="20"/>
                <w:szCs w:val="20"/>
              </w:rPr>
              <w:t>Debería diseñarse y aplicarse la protección contra las amenazas físicas y ambientales, como los desastres naturales y otras amenazas físicas intencionales o no intencionales a la infraestructura.</w:t>
            </w:r>
          </w:p>
        </w:tc>
      </w:tr>
      <w:tr w:rsidR="004A5B94" w:rsidRPr="00C458AE" w14:paraId="16D57519" w14:textId="77777777" w:rsidTr="008612B5">
        <w:trPr>
          <w:trHeight w:val="535"/>
        </w:trPr>
        <w:tc>
          <w:tcPr>
            <w:tcW w:w="3256" w:type="dxa"/>
          </w:tcPr>
          <w:p w14:paraId="0C8541B5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7.6 Trabajar en áreas seguras</w:t>
            </w:r>
          </w:p>
        </w:tc>
        <w:tc>
          <w:tcPr>
            <w:tcW w:w="5572" w:type="dxa"/>
          </w:tcPr>
          <w:p w14:paraId="6F36728D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4133">
              <w:rPr>
                <w:rFonts w:ascii="Arial" w:hAnsi="Arial" w:cs="Arial"/>
                <w:sz w:val="20"/>
                <w:szCs w:val="20"/>
              </w:rPr>
              <w:t>Deberían diseñarse y aplicarse medidas de seguridad para trabajar en zonas seguras.</w:t>
            </w:r>
          </w:p>
        </w:tc>
      </w:tr>
      <w:tr w:rsidR="004A5B94" w:rsidRPr="00C458AE" w14:paraId="3B8E2A32" w14:textId="77777777" w:rsidTr="008612B5">
        <w:trPr>
          <w:trHeight w:val="1001"/>
        </w:trPr>
        <w:tc>
          <w:tcPr>
            <w:tcW w:w="3256" w:type="dxa"/>
          </w:tcPr>
          <w:p w14:paraId="15FA0CE3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7.7 Escritorio despejado y pantalla despejada</w:t>
            </w:r>
          </w:p>
        </w:tc>
        <w:tc>
          <w:tcPr>
            <w:tcW w:w="5572" w:type="dxa"/>
          </w:tcPr>
          <w:p w14:paraId="34CD1AE9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4133">
              <w:rPr>
                <w:rFonts w:ascii="Arial" w:hAnsi="Arial" w:cs="Arial"/>
                <w:sz w:val="20"/>
                <w:szCs w:val="20"/>
              </w:rPr>
              <w:t>Se deberían definir y aplicar de forma adecuada reglas de escritorio claras para papeles y medios de almacenamiento extraíbles, así como reglas de pantalla clara para las instalaciones de procesamiento de información.</w:t>
            </w:r>
          </w:p>
        </w:tc>
      </w:tr>
      <w:tr w:rsidR="004A5B94" w:rsidRPr="00C458AE" w14:paraId="35D5CAC5" w14:textId="77777777" w:rsidTr="008612B5">
        <w:trPr>
          <w:trHeight w:val="556"/>
        </w:trPr>
        <w:tc>
          <w:tcPr>
            <w:tcW w:w="3256" w:type="dxa"/>
          </w:tcPr>
          <w:p w14:paraId="57F599ED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7.8 Ubicación y protección del equipo</w:t>
            </w:r>
          </w:p>
        </w:tc>
        <w:tc>
          <w:tcPr>
            <w:tcW w:w="5572" w:type="dxa"/>
          </w:tcPr>
          <w:p w14:paraId="041F0A2B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4133">
              <w:rPr>
                <w:rFonts w:ascii="Arial" w:hAnsi="Arial" w:cs="Arial"/>
                <w:sz w:val="20"/>
                <w:szCs w:val="20"/>
              </w:rPr>
              <w:t>El equipo debería estar colocado de forma segura y protegido.</w:t>
            </w:r>
          </w:p>
        </w:tc>
      </w:tr>
      <w:tr w:rsidR="004A5B94" w:rsidRPr="00C458AE" w14:paraId="4E1C0106" w14:textId="77777777" w:rsidTr="008612B5">
        <w:trPr>
          <w:trHeight w:val="550"/>
        </w:trPr>
        <w:tc>
          <w:tcPr>
            <w:tcW w:w="3256" w:type="dxa"/>
          </w:tcPr>
          <w:p w14:paraId="65D0B56A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7.9 Seguridad de los activos fuera de las instalaciones</w:t>
            </w:r>
          </w:p>
        </w:tc>
        <w:tc>
          <w:tcPr>
            <w:tcW w:w="5572" w:type="dxa"/>
          </w:tcPr>
          <w:p w14:paraId="12CC9926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4133">
              <w:rPr>
                <w:rFonts w:ascii="Arial" w:hAnsi="Arial" w:cs="Arial"/>
                <w:sz w:val="20"/>
                <w:szCs w:val="20"/>
              </w:rPr>
              <w:t>Los activos fuera de las instalaciones deberían estar protegidos.</w:t>
            </w:r>
          </w:p>
        </w:tc>
      </w:tr>
      <w:tr w:rsidR="004A5B94" w:rsidRPr="00C458AE" w14:paraId="0A6D9142" w14:textId="77777777" w:rsidTr="008612B5">
        <w:trPr>
          <w:trHeight w:val="992"/>
        </w:trPr>
        <w:tc>
          <w:tcPr>
            <w:tcW w:w="3256" w:type="dxa"/>
          </w:tcPr>
          <w:p w14:paraId="23602231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7.10 Medios de almacenamiento</w:t>
            </w:r>
          </w:p>
        </w:tc>
        <w:tc>
          <w:tcPr>
            <w:tcW w:w="5572" w:type="dxa"/>
          </w:tcPr>
          <w:p w14:paraId="3A0C7191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4133">
              <w:rPr>
                <w:rFonts w:ascii="Arial" w:hAnsi="Arial" w:cs="Arial"/>
                <w:sz w:val="20"/>
                <w:szCs w:val="20"/>
              </w:rPr>
              <w:t>Los medios de almacenamiento deberían gestionarse a través de su ciclo de vida de adquisición, uso, transporte y eliminación de acuerdo con el esquema de clasificación y los requisitos de manipulación de la organización.</w:t>
            </w:r>
          </w:p>
        </w:tc>
      </w:tr>
      <w:tr w:rsidR="004A5B94" w:rsidRPr="00C458AE" w14:paraId="349C872E" w14:textId="77777777" w:rsidTr="008612B5">
        <w:trPr>
          <w:trHeight w:val="978"/>
        </w:trPr>
        <w:tc>
          <w:tcPr>
            <w:tcW w:w="3256" w:type="dxa"/>
          </w:tcPr>
          <w:p w14:paraId="286A52B1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7.11 Utilidades de apoyo</w:t>
            </w:r>
          </w:p>
        </w:tc>
        <w:tc>
          <w:tcPr>
            <w:tcW w:w="5572" w:type="dxa"/>
          </w:tcPr>
          <w:p w14:paraId="11F30F3E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4133">
              <w:rPr>
                <w:rFonts w:ascii="Arial" w:hAnsi="Arial" w:cs="Arial"/>
                <w:sz w:val="20"/>
                <w:szCs w:val="20"/>
              </w:rPr>
              <w:t>Las instalaciones de procesamiento de la información deberían estar protegidas contra los cortes de energía y otras interrupciones causadas por fallas en los servicios públicos de respaldo.</w:t>
            </w:r>
          </w:p>
        </w:tc>
      </w:tr>
      <w:tr w:rsidR="004A5B94" w:rsidRPr="00C458AE" w14:paraId="08C02CB3" w14:textId="77777777" w:rsidTr="008612B5">
        <w:trPr>
          <w:trHeight w:val="836"/>
        </w:trPr>
        <w:tc>
          <w:tcPr>
            <w:tcW w:w="3256" w:type="dxa"/>
          </w:tcPr>
          <w:p w14:paraId="73FAB863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7.12 Seguridad del cableado</w:t>
            </w:r>
          </w:p>
        </w:tc>
        <w:tc>
          <w:tcPr>
            <w:tcW w:w="5572" w:type="dxa"/>
          </w:tcPr>
          <w:p w14:paraId="7480B582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4133">
              <w:rPr>
                <w:rFonts w:ascii="Arial" w:hAnsi="Arial" w:cs="Arial"/>
                <w:sz w:val="20"/>
                <w:szCs w:val="20"/>
              </w:rPr>
              <w:t>Los cables que transportan energía, datos o servicios de información de respaldo deben estar protegidos contra la interceptación, las interferencias o los daños.</w:t>
            </w:r>
          </w:p>
        </w:tc>
      </w:tr>
      <w:tr w:rsidR="004A5B94" w:rsidRPr="00C458AE" w14:paraId="617AF90E" w14:textId="77777777" w:rsidTr="008612B5">
        <w:trPr>
          <w:trHeight w:val="705"/>
        </w:trPr>
        <w:tc>
          <w:tcPr>
            <w:tcW w:w="3256" w:type="dxa"/>
          </w:tcPr>
          <w:p w14:paraId="4F7F74DE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7.13 Mantenimiento de equipos</w:t>
            </w:r>
          </w:p>
        </w:tc>
        <w:tc>
          <w:tcPr>
            <w:tcW w:w="5572" w:type="dxa"/>
          </w:tcPr>
          <w:p w14:paraId="67B33812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4133">
              <w:rPr>
                <w:rFonts w:ascii="Arial" w:hAnsi="Arial" w:cs="Arial"/>
                <w:sz w:val="20"/>
                <w:szCs w:val="20"/>
              </w:rPr>
              <w:t>El equipo debería mantenerse correctamente para garantizar la disponibilidad, integridad y confidencialidad de la información.</w:t>
            </w:r>
          </w:p>
        </w:tc>
      </w:tr>
      <w:tr w:rsidR="004A5B94" w:rsidRPr="00C458AE" w14:paraId="1638F176" w14:textId="77777777" w:rsidTr="008612B5">
        <w:trPr>
          <w:trHeight w:val="1257"/>
        </w:trPr>
        <w:tc>
          <w:tcPr>
            <w:tcW w:w="3256" w:type="dxa"/>
          </w:tcPr>
          <w:p w14:paraId="45B18B37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7.14 Eliminación segura o reutilización de equipos</w:t>
            </w:r>
          </w:p>
        </w:tc>
        <w:tc>
          <w:tcPr>
            <w:tcW w:w="5572" w:type="dxa"/>
          </w:tcPr>
          <w:p w14:paraId="4736A3DB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4133">
              <w:rPr>
                <w:rFonts w:ascii="Arial" w:hAnsi="Arial" w:cs="Arial"/>
                <w:sz w:val="20"/>
                <w:szCs w:val="20"/>
              </w:rPr>
              <w:t>Los elementos del equipo que contienen medios de almacenamiento deberían verificarse para garantizar que los datos confidenciales y el software con licencia se han eliminado o sobrescrito de forma segura antes de desecharlos o volver a utilizarlos.</w:t>
            </w:r>
          </w:p>
        </w:tc>
      </w:tr>
      <w:tr w:rsidR="004A5B94" w:rsidRPr="00C458AE" w14:paraId="4506C0FC" w14:textId="77777777" w:rsidTr="008612B5">
        <w:trPr>
          <w:trHeight w:val="361"/>
        </w:trPr>
        <w:tc>
          <w:tcPr>
            <w:tcW w:w="8828" w:type="dxa"/>
            <w:gridSpan w:val="2"/>
          </w:tcPr>
          <w:p w14:paraId="2193FABC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b/>
                <w:bCs/>
                <w:sz w:val="20"/>
                <w:szCs w:val="20"/>
              </w:rPr>
              <w:t>8. Controles tecnológicos</w:t>
            </w:r>
          </w:p>
        </w:tc>
      </w:tr>
      <w:tr w:rsidR="004A5B94" w:rsidRPr="00C458AE" w14:paraId="55E6FDA1" w14:textId="77777777" w:rsidTr="008612B5">
        <w:trPr>
          <w:trHeight w:val="767"/>
        </w:trPr>
        <w:tc>
          <w:tcPr>
            <w:tcW w:w="3256" w:type="dxa"/>
          </w:tcPr>
          <w:p w14:paraId="2F26505A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lastRenderedPageBreak/>
              <w:t>8.1 Dispositivos de punto final de usuario</w:t>
            </w:r>
          </w:p>
        </w:tc>
        <w:tc>
          <w:tcPr>
            <w:tcW w:w="5572" w:type="dxa"/>
          </w:tcPr>
          <w:p w14:paraId="6BE54723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4133">
              <w:rPr>
                <w:rFonts w:ascii="Arial" w:hAnsi="Arial" w:cs="Arial"/>
                <w:sz w:val="20"/>
                <w:szCs w:val="20"/>
              </w:rPr>
              <w:t>La información almacenada, procesada o accesible a través de los dispositivos de punto final del usuario debería estar protegida.</w:t>
            </w:r>
          </w:p>
        </w:tc>
      </w:tr>
      <w:tr w:rsidR="004A5B94" w:rsidRPr="00C458AE" w14:paraId="05840DD5" w14:textId="77777777" w:rsidTr="008612B5">
        <w:trPr>
          <w:trHeight w:val="621"/>
        </w:trPr>
        <w:tc>
          <w:tcPr>
            <w:tcW w:w="3256" w:type="dxa"/>
          </w:tcPr>
          <w:p w14:paraId="199CE354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8.2 Derechos de acceso privilegiado</w:t>
            </w:r>
          </w:p>
        </w:tc>
        <w:tc>
          <w:tcPr>
            <w:tcW w:w="5572" w:type="dxa"/>
          </w:tcPr>
          <w:p w14:paraId="32C9DF30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4133">
              <w:rPr>
                <w:rFonts w:ascii="Arial" w:hAnsi="Arial" w:cs="Arial"/>
                <w:sz w:val="20"/>
                <w:szCs w:val="20"/>
              </w:rPr>
              <w:t>La asignación y el uso de los derechos de acceso privilegiado deberían ser restringidos y gestionados.</w:t>
            </w:r>
          </w:p>
        </w:tc>
      </w:tr>
      <w:tr w:rsidR="004A5B94" w:rsidRPr="00C458AE" w14:paraId="21A419C6" w14:textId="77777777" w:rsidTr="008612B5">
        <w:trPr>
          <w:trHeight w:val="985"/>
        </w:trPr>
        <w:tc>
          <w:tcPr>
            <w:tcW w:w="3256" w:type="dxa"/>
          </w:tcPr>
          <w:p w14:paraId="36134C3E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8.3 Restricción de acceso a la información</w:t>
            </w:r>
          </w:p>
        </w:tc>
        <w:tc>
          <w:tcPr>
            <w:tcW w:w="5572" w:type="dxa"/>
          </w:tcPr>
          <w:p w14:paraId="1D60B247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4133">
              <w:rPr>
                <w:rFonts w:ascii="Arial" w:hAnsi="Arial" w:cs="Arial"/>
                <w:sz w:val="20"/>
                <w:szCs w:val="20"/>
              </w:rPr>
              <w:t>El acceso a la información y a otros activos asociados debería restringirse de conformidad con la política establecida sobre el control del acceso relativa a temas específicos.</w:t>
            </w:r>
          </w:p>
        </w:tc>
      </w:tr>
      <w:tr w:rsidR="004A5B94" w:rsidRPr="00C458AE" w14:paraId="1DB89C41" w14:textId="77777777" w:rsidTr="008612B5">
        <w:trPr>
          <w:trHeight w:val="843"/>
        </w:trPr>
        <w:tc>
          <w:tcPr>
            <w:tcW w:w="3256" w:type="dxa"/>
          </w:tcPr>
          <w:p w14:paraId="2F7D7B73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8.4 Acceso al código fuente</w:t>
            </w:r>
          </w:p>
        </w:tc>
        <w:tc>
          <w:tcPr>
            <w:tcW w:w="5572" w:type="dxa"/>
          </w:tcPr>
          <w:p w14:paraId="7BF5BF4B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4133">
              <w:rPr>
                <w:rFonts w:ascii="Arial" w:hAnsi="Arial" w:cs="Arial"/>
                <w:sz w:val="20"/>
                <w:szCs w:val="20"/>
              </w:rPr>
              <w:t>El acceso de lectura y escritura al código fuente, las herramientas de desarrollo y las bibliotecas de software se deberían administrar adecuadamente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4A5B94" w:rsidRPr="00C458AE" w14:paraId="00801463" w14:textId="77777777" w:rsidTr="008612B5">
        <w:trPr>
          <w:trHeight w:val="1055"/>
        </w:trPr>
        <w:tc>
          <w:tcPr>
            <w:tcW w:w="3256" w:type="dxa"/>
          </w:tcPr>
          <w:p w14:paraId="4E4F34C4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8.5 Autenticación segura</w:t>
            </w:r>
          </w:p>
        </w:tc>
        <w:tc>
          <w:tcPr>
            <w:tcW w:w="5572" w:type="dxa"/>
          </w:tcPr>
          <w:p w14:paraId="4FA82429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4133">
              <w:rPr>
                <w:rFonts w:ascii="Arial" w:hAnsi="Arial" w:cs="Arial"/>
                <w:sz w:val="20"/>
                <w:szCs w:val="20"/>
              </w:rPr>
              <w:t>Las tecnologías y los procedimientos de autenticación segura deberían implementarse en función de las restricciones de acceso a la información y de la política de control de acceso específica del tema.</w:t>
            </w:r>
          </w:p>
        </w:tc>
      </w:tr>
      <w:tr w:rsidR="004A5B94" w:rsidRPr="00C458AE" w14:paraId="70D36932" w14:textId="77777777" w:rsidTr="008612B5">
        <w:trPr>
          <w:trHeight w:val="814"/>
        </w:trPr>
        <w:tc>
          <w:tcPr>
            <w:tcW w:w="3256" w:type="dxa"/>
          </w:tcPr>
          <w:p w14:paraId="4C9AC520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8.6 Gestión de la capacidad</w:t>
            </w:r>
          </w:p>
        </w:tc>
        <w:tc>
          <w:tcPr>
            <w:tcW w:w="5572" w:type="dxa"/>
          </w:tcPr>
          <w:p w14:paraId="68892814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4133">
              <w:rPr>
                <w:rFonts w:ascii="Arial" w:hAnsi="Arial" w:cs="Arial"/>
                <w:sz w:val="20"/>
                <w:szCs w:val="20"/>
              </w:rPr>
              <w:t>La utilización de los recursos debería supervisarse y ajustarse de conformidad con las necesidades de capacidad actuales y previstas.</w:t>
            </w:r>
          </w:p>
        </w:tc>
      </w:tr>
      <w:tr w:rsidR="004A5B94" w:rsidRPr="00C458AE" w14:paraId="5FA3CED7" w14:textId="77777777" w:rsidTr="008612B5">
        <w:trPr>
          <w:trHeight w:val="540"/>
        </w:trPr>
        <w:tc>
          <w:tcPr>
            <w:tcW w:w="3256" w:type="dxa"/>
          </w:tcPr>
          <w:p w14:paraId="79778C83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8.7 Protección contra malware</w:t>
            </w:r>
          </w:p>
        </w:tc>
        <w:tc>
          <w:tcPr>
            <w:tcW w:w="5572" w:type="dxa"/>
          </w:tcPr>
          <w:p w14:paraId="7A566669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4133">
              <w:rPr>
                <w:rFonts w:ascii="Arial" w:hAnsi="Arial" w:cs="Arial"/>
                <w:sz w:val="20"/>
                <w:szCs w:val="20"/>
              </w:rPr>
              <w:t>La protección contra el malware debería implementarse y respaldarse con el conocimiento adecuado del usuario.</w:t>
            </w:r>
          </w:p>
        </w:tc>
      </w:tr>
      <w:tr w:rsidR="004A5B94" w:rsidRPr="00C458AE" w14:paraId="51F9ED65" w14:textId="77777777" w:rsidTr="008612B5">
        <w:trPr>
          <w:trHeight w:val="1302"/>
        </w:trPr>
        <w:tc>
          <w:tcPr>
            <w:tcW w:w="3256" w:type="dxa"/>
          </w:tcPr>
          <w:p w14:paraId="2A430252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8.8 Gestión de vulnerabilidades técnicas</w:t>
            </w:r>
          </w:p>
        </w:tc>
        <w:tc>
          <w:tcPr>
            <w:tcW w:w="5572" w:type="dxa"/>
          </w:tcPr>
          <w:p w14:paraId="67BCD310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64133">
              <w:rPr>
                <w:rFonts w:ascii="Arial" w:hAnsi="Arial" w:cs="Arial"/>
                <w:sz w:val="20"/>
                <w:szCs w:val="20"/>
              </w:rPr>
              <w:t>Se debería obtener información sobre las vulnerabilidades técnicas de los sistemas de información en uso, se debería evaluar la exposición de la organización a esas vulnerabilidades y se deberían adoptar las medidas apropiadas.</w:t>
            </w:r>
          </w:p>
        </w:tc>
      </w:tr>
      <w:tr w:rsidR="004A5B94" w:rsidRPr="00C458AE" w14:paraId="44BA6730" w14:textId="77777777" w:rsidTr="008612B5">
        <w:trPr>
          <w:trHeight w:val="566"/>
        </w:trPr>
        <w:tc>
          <w:tcPr>
            <w:tcW w:w="3256" w:type="dxa"/>
          </w:tcPr>
          <w:p w14:paraId="7C151AB2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8.9 Gestión de la configuración</w:t>
            </w:r>
          </w:p>
        </w:tc>
        <w:tc>
          <w:tcPr>
            <w:tcW w:w="5572" w:type="dxa"/>
          </w:tcPr>
          <w:p w14:paraId="50AE2B27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2F5E">
              <w:rPr>
                <w:rFonts w:ascii="Arial" w:hAnsi="Arial" w:cs="Arial"/>
                <w:sz w:val="20"/>
                <w:szCs w:val="20"/>
              </w:rPr>
              <w:t>Las configuraciones, incluidas las configuraciones de seguridad, de hardware, software, servicios y redes deben establecerse, documentarse, implementarse, supervisarse y revisarse.</w:t>
            </w:r>
          </w:p>
        </w:tc>
      </w:tr>
      <w:tr w:rsidR="004A5B94" w:rsidRPr="00C458AE" w14:paraId="69FD1CA8" w14:textId="77777777" w:rsidTr="008612B5">
        <w:trPr>
          <w:trHeight w:val="786"/>
        </w:trPr>
        <w:tc>
          <w:tcPr>
            <w:tcW w:w="3256" w:type="dxa"/>
          </w:tcPr>
          <w:p w14:paraId="3E15651E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8.10 Eliminación de información</w:t>
            </w:r>
          </w:p>
        </w:tc>
        <w:tc>
          <w:tcPr>
            <w:tcW w:w="5572" w:type="dxa"/>
          </w:tcPr>
          <w:p w14:paraId="55D51114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2F5E">
              <w:rPr>
                <w:rFonts w:ascii="Arial" w:hAnsi="Arial" w:cs="Arial"/>
                <w:sz w:val="20"/>
                <w:szCs w:val="20"/>
              </w:rPr>
              <w:t>La información almacenada en sistemas de información, dispositivos o cualquier otro medio de almacenamiento debería eliminarse cuando ya no sea necesario.</w:t>
            </w:r>
          </w:p>
        </w:tc>
      </w:tr>
      <w:tr w:rsidR="004A5B94" w:rsidRPr="00C458AE" w14:paraId="41DEBF29" w14:textId="77777777" w:rsidTr="008612B5">
        <w:trPr>
          <w:trHeight w:val="1235"/>
        </w:trPr>
        <w:tc>
          <w:tcPr>
            <w:tcW w:w="3256" w:type="dxa"/>
          </w:tcPr>
          <w:p w14:paraId="2E41448E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8.11 Enmascaramiento de datos</w:t>
            </w:r>
          </w:p>
        </w:tc>
        <w:tc>
          <w:tcPr>
            <w:tcW w:w="5572" w:type="dxa"/>
          </w:tcPr>
          <w:p w14:paraId="18EFC82A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2F5E">
              <w:rPr>
                <w:rFonts w:ascii="Arial" w:hAnsi="Arial" w:cs="Arial"/>
                <w:sz w:val="20"/>
                <w:szCs w:val="20"/>
              </w:rPr>
              <w:t>El enmascaramiento de datos debería utilizarse de acuerdo con la política de la organización sobre el control de acceso y otras políticas específicas de temas relacionados, así como con los requisitos empresariales, tomando en consideración la legislación aplicable.</w:t>
            </w:r>
          </w:p>
        </w:tc>
      </w:tr>
      <w:tr w:rsidR="004A5B94" w:rsidRPr="00C458AE" w14:paraId="01EB7F61" w14:textId="77777777" w:rsidTr="008612B5">
        <w:trPr>
          <w:trHeight w:val="783"/>
        </w:trPr>
        <w:tc>
          <w:tcPr>
            <w:tcW w:w="3256" w:type="dxa"/>
          </w:tcPr>
          <w:p w14:paraId="195861D0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8.12 Prevención de fuga de datos</w:t>
            </w:r>
          </w:p>
        </w:tc>
        <w:tc>
          <w:tcPr>
            <w:tcW w:w="5572" w:type="dxa"/>
          </w:tcPr>
          <w:p w14:paraId="6EAD1AD6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2F5E">
              <w:rPr>
                <w:rFonts w:ascii="Arial" w:hAnsi="Arial" w:cs="Arial"/>
                <w:sz w:val="20"/>
                <w:szCs w:val="20"/>
              </w:rPr>
              <w:t>Las medidas de prevención de fugas de datos deberían aplicarse a los sistemas, redes y cualquier otro dispositivo que procese, almacene o transmita información confidencial.</w:t>
            </w:r>
          </w:p>
        </w:tc>
      </w:tr>
      <w:tr w:rsidR="004A5B94" w:rsidRPr="00C458AE" w14:paraId="0AAFADBF" w14:textId="77777777" w:rsidTr="008612B5">
        <w:trPr>
          <w:trHeight w:val="1076"/>
        </w:trPr>
        <w:tc>
          <w:tcPr>
            <w:tcW w:w="3256" w:type="dxa"/>
          </w:tcPr>
          <w:p w14:paraId="428254A0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lastRenderedPageBreak/>
              <w:t>8.13 Copia de seguridad de la información</w:t>
            </w:r>
          </w:p>
        </w:tc>
        <w:tc>
          <w:tcPr>
            <w:tcW w:w="5572" w:type="dxa"/>
          </w:tcPr>
          <w:p w14:paraId="1CF5544C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2F5E">
              <w:rPr>
                <w:rFonts w:ascii="Arial" w:hAnsi="Arial" w:cs="Arial"/>
                <w:sz w:val="20"/>
                <w:szCs w:val="20"/>
              </w:rPr>
              <w:t>Las copias de seguridad de la información, el software y los sistemas deberían mantenerse y probarse periódicamente de conformidad con la política de copia de seguridad específica del tema acordado</w:t>
            </w:r>
          </w:p>
        </w:tc>
      </w:tr>
      <w:tr w:rsidR="004A5B94" w:rsidRPr="00C458AE" w14:paraId="4D207585" w14:textId="77777777" w:rsidTr="008612B5">
        <w:trPr>
          <w:trHeight w:val="849"/>
        </w:trPr>
        <w:tc>
          <w:tcPr>
            <w:tcW w:w="3256" w:type="dxa"/>
          </w:tcPr>
          <w:p w14:paraId="10A92C77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8.14 Redundancia de las instalaciones de procesamiento de información</w:t>
            </w:r>
          </w:p>
        </w:tc>
        <w:tc>
          <w:tcPr>
            <w:tcW w:w="5572" w:type="dxa"/>
          </w:tcPr>
          <w:p w14:paraId="451B8DEC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2F5E">
              <w:rPr>
                <w:rFonts w:ascii="Arial" w:hAnsi="Arial" w:cs="Arial"/>
                <w:sz w:val="20"/>
                <w:szCs w:val="20"/>
              </w:rPr>
              <w:t>Las instalaciones de procesamiento de información deberían implementarse con redundancia suficiente para satisfacer los requisitos de disponibilidad.</w:t>
            </w:r>
          </w:p>
        </w:tc>
      </w:tr>
      <w:tr w:rsidR="004A5B94" w:rsidRPr="00C458AE" w14:paraId="3697F3EE" w14:textId="77777777" w:rsidTr="008612B5">
        <w:trPr>
          <w:trHeight w:val="717"/>
        </w:trPr>
        <w:tc>
          <w:tcPr>
            <w:tcW w:w="3256" w:type="dxa"/>
          </w:tcPr>
          <w:p w14:paraId="71494089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8.15 Registro</w:t>
            </w:r>
          </w:p>
        </w:tc>
        <w:tc>
          <w:tcPr>
            <w:tcW w:w="5572" w:type="dxa"/>
          </w:tcPr>
          <w:p w14:paraId="223DC414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2F5E">
              <w:rPr>
                <w:rFonts w:ascii="Arial" w:hAnsi="Arial" w:cs="Arial"/>
                <w:sz w:val="20"/>
                <w:szCs w:val="20"/>
              </w:rPr>
              <w:t>Deberían producirse, almacenarse, protegerse y analizarse los registros que recogen las actividades, las excepciones, los fallas y otros eventos relevantes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4A5B94" w:rsidRPr="00C458AE" w14:paraId="6E7A5112" w14:textId="77777777" w:rsidTr="008612B5">
        <w:trPr>
          <w:trHeight w:val="1010"/>
        </w:trPr>
        <w:tc>
          <w:tcPr>
            <w:tcW w:w="3256" w:type="dxa"/>
          </w:tcPr>
          <w:p w14:paraId="7E75C1EE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8.16 Actividades de seguimiento</w:t>
            </w:r>
          </w:p>
        </w:tc>
        <w:tc>
          <w:tcPr>
            <w:tcW w:w="5572" w:type="dxa"/>
          </w:tcPr>
          <w:p w14:paraId="069DCAD0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2F5E">
              <w:rPr>
                <w:rFonts w:ascii="Arial" w:hAnsi="Arial" w:cs="Arial"/>
                <w:sz w:val="20"/>
                <w:szCs w:val="20"/>
              </w:rPr>
              <w:t>Las redes, los sistemas y las aplicaciones deberían ser monitoreados para detectar comportamientos anómalos y tomar las medidas apropiadas para evaluar posibles incidentes de seguridad de la información.</w:t>
            </w:r>
          </w:p>
        </w:tc>
      </w:tr>
      <w:tr w:rsidR="004A5B94" w:rsidRPr="00C458AE" w14:paraId="56695C30" w14:textId="77777777" w:rsidTr="008612B5">
        <w:trPr>
          <w:trHeight w:val="797"/>
        </w:trPr>
        <w:tc>
          <w:tcPr>
            <w:tcW w:w="3256" w:type="dxa"/>
          </w:tcPr>
          <w:p w14:paraId="658512A0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8.17 Sincronización de reloj</w:t>
            </w:r>
          </w:p>
        </w:tc>
        <w:tc>
          <w:tcPr>
            <w:tcW w:w="5572" w:type="dxa"/>
          </w:tcPr>
          <w:p w14:paraId="3D288454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2F5E">
              <w:rPr>
                <w:rFonts w:ascii="Arial" w:hAnsi="Arial" w:cs="Arial"/>
                <w:sz w:val="20"/>
                <w:szCs w:val="20"/>
              </w:rPr>
              <w:t>Los relojes de los sistemas de procesamiento de información utilizados por la organización deberían sincronizarse con las fuentes de tiempo aprobadas.</w:t>
            </w:r>
          </w:p>
        </w:tc>
      </w:tr>
      <w:tr w:rsidR="004A5B94" w:rsidRPr="00C458AE" w14:paraId="70262346" w14:textId="77777777" w:rsidTr="008612B5">
        <w:trPr>
          <w:trHeight w:val="807"/>
        </w:trPr>
        <w:tc>
          <w:tcPr>
            <w:tcW w:w="3256" w:type="dxa"/>
          </w:tcPr>
          <w:p w14:paraId="230276D4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8.18 Uso de programas de utilidad privilegiados</w:t>
            </w:r>
          </w:p>
        </w:tc>
        <w:tc>
          <w:tcPr>
            <w:tcW w:w="5572" w:type="dxa"/>
          </w:tcPr>
          <w:p w14:paraId="3095713E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2F5E">
              <w:rPr>
                <w:rFonts w:ascii="Arial" w:hAnsi="Arial" w:cs="Arial"/>
                <w:sz w:val="20"/>
                <w:szCs w:val="20"/>
              </w:rPr>
              <w:t>El uso de programas de utilidad que pueden ser capaces de anular los controles del sistema y de las aplicaciones debe estar restringido y controlado de forma estricta.</w:t>
            </w:r>
          </w:p>
        </w:tc>
      </w:tr>
      <w:tr w:rsidR="004A5B94" w:rsidRPr="00C458AE" w14:paraId="7D1EB409" w14:textId="77777777" w:rsidTr="008612B5">
        <w:trPr>
          <w:trHeight w:val="804"/>
        </w:trPr>
        <w:tc>
          <w:tcPr>
            <w:tcW w:w="3256" w:type="dxa"/>
          </w:tcPr>
          <w:p w14:paraId="022426C6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8.19 Instalación de software de sistemas operativos</w:t>
            </w:r>
          </w:p>
        </w:tc>
        <w:tc>
          <w:tcPr>
            <w:tcW w:w="5572" w:type="dxa"/>
          </w:tcPr>
          <w:p w14:paraId="3FF03499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2F5E">
              <w:rPr>
                <w:rFonts w:ascii="Arial" w:hAnsi="Arial" w:cs="Arial"/>
                <w:sz w:val="20"/>
                <w:szCs w:val="20"/>
              </w:rPr>
              <w:t>Deberían implementarse procedimientos y medidas para administrar de forma segura la instalación de software en sistemas operativos.</w:t>
            </w:r>
          </w:p>
        </w:tc>
      </w:tr>
      <w:tr w:rsidR="004A5B94" w:rsidRPr="00C458AE" w14:paraId="516FF876" w14:textId="77777777" w:rsidTr="008612B5">
        <w:trPr>
          <w:trHeight w:val="801"/>
        </w:trPr>
        <w:tc>
          <w:tcPr>
            <w:tcW w:w="3256" w:type="dxa"/>
          </w:tcPr>
          <w:p w14:paraId="1DEDC80A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8.20 Seguridad de redes</w:t>
            </w:r>
          </w:p>
        </w:tc>
        <w:tc>
          <w:tcPr>
            <w:tcW w:w="5572" w:type="dxa"/>
          </w:tcPr>
          <w:p w14:paraId="461FEA65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2F5E">
              <w:rPr>
                <w:rFonts w:ascii="Arial" w:hAnsi="Arial" w:cs="Arial"/>
                <w:sz w:val="20"/>
                <w:szCs w:val="20"/>
              </w:rPr>
              <w:t>Las redes y los dispositivos de red deberían estar protegidos, gestionados y controlados para proteger la información de los sistemas y las aplicaciones.</w:t>
            </w:r>
          </w:p>
        </w:tc>
      </w:tr>
      <w:tr w:rsidR="004A5B94" w:rsidRPr="00C458AE" w14:paraId="0B2A13D6" w14:textId="77777777" w:rsidTr="008612B5">
        <w:trPr>
          <w:trHeight w:val="811"/>
        </w:trPr>
        <w:tc>
          <w:tcPr>
            <w:tcW w:w="3256" w:type="dxa"/>
          </w:tcPr>
          <w:p w14:paraId="4F9BA38E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8.21 Seguridad de los servicios de red</w:t>
            </w:r>
          </w:p>
        </w:tc>
        <w:tc>
          <w:tcPr>
            <w:tcW w:w="5572" w:type="dxa"/>
          </w:tcPr>
          <w:p w14:paraId="20DE4C83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2F5E">
              <w:rPr>
                <w:rFonts w:ascii="Arial" w:hAnsi="Arial" w:cs="Arial"/>
                <w:sz w:val="20"/>
                <w:szCs w:val="20"/>
              </w:rPr>
              <w:t>Deberían identificarse, implementarse y supervisarse los mecanismos de seguridad, los niveles de servicio y los requisitos de servicio de los servicios de red.</w:t>
            </w:r>
          </w:p>
        </w:tc>
      </w:tr>
      <w:tr w:rsidR="004A5B94" w:rsidRPr="00C458AE" w14:paraId="49A89704" w14:textId="77777777" w:rsidTr="008612B5">
        <w:trPr>
          <w:trHeight w:val="807"/>
        </w:trPr>
        <w:tc>
          <w:tcPr>
            <w:tcW w:w="3256" w:type="dxa"/>
          </w:tcPr>
          <w:p w14:paraId="6847AED7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8.22 Segregación de redes</w:t>
            </w:r>
          </w:p>
        </w:tc>
        <w:tc>
          <w:tcPr>
            <w:tcW w:w="5572" w:type="dxa"/>
          </w:tcPr>
          <w:p w14:paraId="210B4D7E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2F5E">
              <w:rPr>
                <w:rFonts w:ascii="Arial" w:hAnsi="Arial" w:cs="Arial"/>
                <w:sz w:val="20"/>
                <w:szCs w:val="20"/>
              </w:rPr>
              <w:t>Los grupos de servicios de información, usuarios y sistemas de información deberían separarse en las redes de la organización.</w:t>
            </w:r>
          </w:p>
        </w:tc>
      </w:tr>
      <w:tr w:rsidR="004A5B94" w:rsidRPr="00C458AE" w14:paraId="363AAA93" w14:textId="77777777" w:rsidTr="008612B5">
        <w:trPr>
          <w:trHeight w:val="534"/>
        </w:trPr>
        <w:tc>
          <w:tcPr>
            <w:tcW w:w="3256" w:type="dxa"/>
          </w:tcPr>
          <w:p w14:paraId="63B64FCA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8.23 Filtrado web</w:t>
            </w:r>
          </w:p>
        </w:tc>
        <w:tc>
          <w:tcPr>
            <w:tcW w:w="5572" w:type="dxa"/>
          </w:tcPr>
          <w:p w14:paraId="641FE254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2F5E">
              <w:rPr>
                <w:rFonts w:ascii="Arial" w:hAnsi="Arial" w:cs="Arial"/>
                <w:sz w:val="20"/>
                <w:szCs w:val="20"/>
              </w:rPr>
              <w:t>El acceso a sitios web externos debería gestionarse para reducir la exposición a contenido malintencionado.</w:t>
            </w:r>
          </w:p>
        </w:tc>
      </w:tr>
      <w:tr w:rsidR="004A5B94" w:rsidRPr="00C458AE" w14:paraId="7898BE90" w14:textId="77777777" w:rsidTr="008612B5">
        <w:trPr>
          <w:trHeight w:val="850"/>
        </w:trPr>
        <w:tc>
          <w:tcPr>
            <w:tcW w:w="3256" w:type="dxa"/>
          </w:tcPr>
          <w:p w14:paraId="03AE9F20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8.24 Uso de criptografía</w:t>
            </w:r>
          </w:p>
        </w:tc>
        <w:tc>
          <w:tcPr>
            <w:tcW w:w="5572" w:type="dxa"/>
          </w:tcPr>
          <w:p w14:paraId="5D1B3A4F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2F5E">
              <w:rPr>
                <w:rFonts w:ascii="Arial" w:hAnsi="Arial" w:cs="Arial"/>
                <w:sz w:val="20"/>
                <w:szCs w:val="20"/>
              </w:rPr>
              <w:t>Se deberían definir e implementar reglas para el uso efectivo de la criptografía, incluida la administración de claves cifradas.</w:t>
            </w:r>
          </w:p>
        </w:tc>
      </w:tr>
      <w:tr w:rsidR="004A5B94" w:rsidRPr="00C458AE" w14:paraId="2A191D6C" w14:textId="77777777" w:rsidTr="008612B5">
        <w:trPr>
          <w:trHeight w:val="562"/>
        </w:trPr>
        <w:tc>
          <w:tcPr>
            <w:tcW w:w="3256" w:type="dxa"/>
          </w:tcPr>
          <w:p w14:paraId="16D3A0A9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8.25 Ciclo de vida de desarrollo seguro</w:t>
            </w:r>
          </w:p>
        </w:tc>
        <w:tc>
          <w:tcPr>
            <w:tcW w:w="5572" w:type="dxa"/>
          </w:tcPr>
          <w:p w14:paraId="4FC74118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2F5E">
              <w:rPr>
                <w:rFonts w:ascii="Arial" w:hAnsi="Arial" w:cs="Arial"/>
                <w:sz w:val="20"/>
                <w:szCs w:val="20"/>
              </w:rPr>
              <w:t>Deberían establecerse y aplicarse normas para el desarrollo seguro de software y sistemas.</w:t>
            </w:r>
          </w:p>
        </w:tc>
      </w:tr>
      <w:tr w:rsidR="004A5B94" w:rsidRPr="00C458AE" w14:paraId="25D536E8" w14:textId="77777777" w:rsidTr="008612B5">
        <w:trPr>
          <w:trHeight w:val="810"/>
        </w:trPr>
        <w:tc>
          <w:tcPr>
            <w:tcW w:w="3256" w:type="dxa"/>
          </w:tcPr>
          <w:p w14:paraId="208A7AB3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8.26 Requisitos de seguridad de la aplicación</w:t>
            </w:r>
          </w:p>
        </w:tc>
        <w:tc>
          <w:tcPr>
            <w:tcW w:w="5572" w:type="dxa"/>
          </w:tcPr>
          <w:p w14:paraId="7B91DCEC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2F5E">
              <w:rPr>
                <w:rFonts w:ascii="Arial" w:hAnsi="Arial" w:cs="Arial"/>
                <w:sz w:val="20"/>
                <w:szCs w:val="20"/>
              </w:rPr>
              <w:t>Los requisitos de seguridad de la información deberían ser identificados, especificados y aprobados al desarrollar o adquirir aplicaciones.</w:t>
            </w:r>
          </w:p>
        </w:tc>
      </w:tr>
      <w:tr w:rsidR="004A5B94" w:rsidRPr="00C458AE" w14:paraId="0E7A03AE" w14:textId="77777777" w:rsidTr="008612B5">
        <w:trPr>
          <w:trHeight w:val="960"/>
        </w:trPr>
        <w:tc>
          <w:tcPr>
            <w:tcW w:w="3256" w:type="dxa"/>
          </w:tcPr>
          <w:p w14:paraId="7FA82EC8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lastRenderedPageBreak/>
              <w:t>8.27 Arquitectura del sistema seguro y principios de ingeniería</w:t>
            </w:r>
          </w:p>
        </w:tc>
        <w:tc>
          <w:tcPr>
            <w:tcW w:w="5572" w:type="dxa"/>
          </w:tcPr>
          <w:p w14:paraId="721799F3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2F5E">
              <w:rPr>
                <w:rFonts w:ascii="Arial" w:hAnsi="Arial" w:cs="Arial"/>
                <w:sz w:val="20"/>
                <w:szCs w:val="20"/>
              </w:rPr>
              <w:t>Los principios para la ingeniería de sistemas seguros deberían establecerse, documentarse, mantenerse y aplicarse a cualquier actividad de desarrollo de sistemas de información.</w:t>
            </w:r>
          </w:p>
        </w:tc>
      </w:tr>
      <w:tr w:rsidR="004A5B94" w:rsidRPr="00C458AE" w14:paraId="6B804665" w14:textId="77777777" w:rsidTr="008612B5">
        <w:trPr>
          <w:trHeight w:val="592"/>
        </w:trPr>
        <w:tc>
          <w:tcPr>
            <w:tcW w:w="3256" w:type="dxa"/>
          </w:tcPr>
          <w:p w14:paraId="79EBDC2F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8.28 Codificación segura</w:t>
            </w:r>
          </w:p>
        </w:tc>
        <w:tc>
          <w:tcPr>
            <w:tcW w:w="5572" w:type="dxa"/>
          </w:tcPr>
          <w:p w14:paraId="686AFD32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2F5E">
              <w:rPr>
                <w:rFonts w:ascii="Arial" w:hAnsi="Arial" w:cs="Arial"/>
                <w:sz w:val="20"/>
                <w:szCs w:val="20"/>
              </w:rPr>
              <w:t>Los principios de codificación segura se deberían aplicar al desarrollo del software.</w:t>
            </w:r>
          </w:p>
        </w:tc>
      </w:tr>
      <w:tr w:rsidR="004A5B94" w:rsidRPr="00C458AE" w14:paraId="2FC696F6" w14:textId="77777777" w:rsidTr="008612B5">
        <w:trPr>
          <w:trHeight w:val="556"/>
        </w:trPr>
        <w:tc>
          <w:tcPr>
            <w:tcW w:w="3256" w:type="dxa"/>
          </w:tcPr>
          <w:p w14:paraId="33198BBA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8.29 Pruebas de seguridad en desarrollo y aceptación</w:t>
            </w:r>
          </w:p>
        </w:tc>
        <w:tc>
          <w:tcPr>
            <w:tcW w:w="5572" w:type="dxa"/>
          </w:tcPr>
          <w:p w14:paraId="76121BEF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2F5E">
              <w:rPr>
                <w:rFonts w:ascii="Arial" w:hAnsi="Arial" w:cs="Arial"/>
                <w:sz w:val="20"/>
                <w:szCs w:val="20"/>
              </w:rPr>
              <w:t>Los procesos de pruebas de seguridad deberían definirse e implementarse en el ciclo de vida del desarrollo.</w:t>
            </w:r>
          </w:p>
        </w:tc>
      </w:tr>
      <w:tr w:rsidR="004A5B94" w:rsidRPr="00C458AE" w14:paraId="7953BF21" w14:textId="77777777" w:rsidTr="008612B5">
        <w:trPr>
          <w:trHeight w:val="789"/>
        </w:trPr>
        <w:tc>
          <w:tcPr>
            <w:tcW w:w="3256" w:type="dxa"/>
          </w:tcPr>
          <w:p w14:paraId="709A2E03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8.30 Desarrollo subcontratado</w:t>
            </w:r>
          </w:p>
        </w:tc>
        <w:tc>
          <w:tcPr>
            <w:tcW w:w="5572" w:type="dxa"/>
          </w:tcPr>
          <w:p w14:paraId="65E41057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2F5E">
              <w:rPr>
                <w:rFonts w:ascii="Arial" w:hAnsi="Arial" w:cs="Arial"/>
                <w:sz w:val="20"/>
                <w:szCs w:val="20"/>
              </w:rPr>
              <w:t>La organización debe dirigir, monitorear y revisar las actividades relacionadas con el desarrollo de sistemas tercerizados.</w:t>
            </w:r>
          </w:p>
        </w:tc>
      </w:tr>
      <w:tr w:rsidR="004A5B94" w:rsidRPr="00C458AE" w14:paraId="5A7D6C33" w14:textId="77777777" w:rsidTr="008612B5">
        <w:trPr>
          <w:trHeight w:val="502"/>
        </w:trPr>
        <w:tc>
          <w:tcPr>
            <w:tcW w:w="3256" w:type="dxa"/>
          </w:tcPr>
          <w:p w14:paraId="1CD859EA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8.31 Separación de los entornos de desarrollo, prueba y producción</w:t>
            </w:r>
          </w:p>
        </w:tc>
        <w:tc>
          <w:tcPr>
            <w:tcW w:w="5572" w:type="dxa"/>
          </w:tcPr>
          <w:p w14:paraId="32FE227A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2F5E">
              <w:rPr>
                <w:rFonts w:ascii="Arial" w:hAnsi="Arial" w:cs="Arial"/>
                <w:sz w:val="20"/>
                <w:szCs w:val="20"/>
              </w:rPr>
              <w:t>Los entornos de desarrollo, prueba y producción deben estar separados y protegidos.</w:t>
            </w:r>
          </w:p>
        </w:tc>
      </w:tr>
      <w:tr w:rsidR="004A5B94" w:rsidRPr="00C458AE" w14:paraId="26ECF537" w14:textId="77777777" w:rsidTr="008612B5">
        <w:trPr>
          <w:trHeight w:val="749"/>
        </w:trPr>
        <w:tc>
          <w:tcPr>
            <w:tcW w:w="3256" w:type="dxa"/>
          </w:tcPr>
          <w:p w14:paraId="18ACBE1E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8.32 Gestión de cambios</w:t>
            </w:r>
          </w:p>
        </w:tc>
        <w:tc>
          <w:tcPr>
            <w:tcW w:w="5572" w:type="dxa"/>
          </w:tcPr>
          <w:p w14:paraId="3606335B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2F5E">
              <w:rPr>
                <w:rFonts w:ascii="Arial" w:hAnsi="Arial" w:cs="Arial"/>
                <w:sz w:val="20"/>
                <w:szCs w:val="20"/>
              </w:rPr>
              <w:t>Los cambios en las instalaciones de procesamiento de información y los sistemas de información deben estar sujetos a procedimientos de gestión de cambios.</w:t>
            </w:r>
          </w:p>
        </w:tc>
      </w:tr>
      <w:tr w:rsidR="004A5B94" w:rsidRPr="00C458AE" w14:paraId="3BFE976D" w14:textId="77777777" w:rsidTr="008612B5">
        <w:trPr>
          <w:trHeight w:val="618"/>
        </w:trPr>
        <w:tc>
          <w:tcPr>
            <w:tcW w:w="3256" w:type="dxa"/>
          </w:tcPr>
          <w:p w14:paraId="6B87F992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8.33 Información de prueba</w:t>
            </w:r>
          </w:p>
        </w:tc>
        <w:tc>
          <w:tcPr>
            <w:tcW w:w="5572" w:type="dxa"/>
          </w:tcPr>
          <w:p w14:paraId="5A7E57E3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2F5E">
              <w:rPr>
                <w:rFonts w:ascii="Arial" w:hAnsi="Arial" w:cs="Arial"/>
                <w:sz w:val="20"/>
                <w:szCs w:val="20"/>
              </w:rPr>
              <w:t>La información de las pruebas debe seleccionarse, protegerse y gestionarse adecuadamente.</w:t>
            </w:r>
          </w:p>
        </w:tc>
      </w:tr>
      <w:tr w:rsidR="004A5B94" w:rsidRPr="00C458AE" w14:paraId="220A7BA3" w14:textId="77777777" w:rsidTr="008612B5">
        <w:trPr>
          <w:trHeight w:val="993"/>
        </w:trPr>
        <w:tc>
          <w:tcPr>
            <w:tcW w:w="3256" w:type="dxa"/>
          </w:tcPr>
          <w:p w14:paraId="31040305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458AE">
              <w:rPr>
                <w:rFonts w:ascii="Arial" w:hAnsi="Arial" w:cs="Arial"/>
                <w:sz w:val="20"/>
                <w:szCs w:val="20"/>
              </w:rPr>
              <w:t>8.34 Protección de los sistemas de información durante las pruebas de auditoría</w:t>
            </w:r>
          </w:p>
        </w:tc>
        <w:tc>
          <w:tcPr>
            <w:tcW w:w="5572" w:type="dxa"/>
          </w:tcPr>
          <w:p w14:paraId="01F4A92B" w14:textId="77777777" w:rsidR="004A5B94" w:rsidRPr="00C458AE" w:rsidRDefault="004A5B94" w:rsidP="008612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2F5E">
              <w:rPr>
                <w:rFonts w:ascii="Arial" w:hAnsi="Arial" w:cs="Arial"/>
                <w:sz w:val="20"/>
                <w:szCs w:val="20"/>
              </w:rPr>
              <w:t>Las pruebas de auditoría y otras actividades de aseguramiento que involucren la evaluación de los sistemas operativos deben planificarse y acordarse entre el evaluador y la gerencia correspondiente.</w:t>
            </w:r>
          </w:p>
        </w:tc>
      </w:tr>
    </w:tbl>
    <w:p w14:paraId="09F78D46" w14:textId="77777777" w:rsidR="004A5B94" w:rsidRPr="004A5B94" w:rsidRDefault="004A5B94" w:rsidP="00C458AE">
      <w:pPr>
        <w:jc w:val="both"/>
        <w:rPr>
          <w:rFonts w:ascii="Arial" w:hAnsi="Arial" w:cs="Arial"/>
          <w:sz w:val="20"/>
          <w:szCs w:val="20"/>
        </w:rPr>
      </w:pPr>
    </w:p>
    <w:sectPr w:rsidR="004A5B94" w:rsidRPr="004A5B94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435207" w14:textId="77777777" w:rsidR="00986A63" w:rsidRDefault="00986A63" w:rsidP="00AC0DA9">
      <w:pPr>
        <w:spacing w:after="0" w:line="240" w:lineRule="auto"/>
      </w:pPr>
      <w:r>
        <w:separator/>
      </w:r>
    </w:p>
  </w:endnote>
  <w:endnote w:type="continuationSeparator" w:id="0">
    <w:p w14:paraId="1FB097BA" w14:textId="77777777" w:rsidR="00986A63" w:rsidRDefault="00986A63" w:rsidP="00AC0D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084BFB" w14:textId="77777777" w:rsidR="00986A63" w:rsidRDefault="00986A63" w:rsidP="00AC0DA9">
      <w:pPr>
        <w:spacing w:after="0" w:line="240" w:lineRule="auto"/>
      </w:pPr>
      <w:r>
        <w:separator/>
      </w:r>
    </w:p>
  </w:footnote>
  <w:footnote w:type="continuationSeparator" w:id="0">
    <w:p w14:paraId="2164B08D" w14:textId="77777777" w:rsidR="00986A63" w:rsidRDefault="00986A63" w:rsidP="00AC0D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7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693"/>
      <w:gridCol w:w="7083"/>
    </w:tblGrid>
    <w:tr w:rsidR="00AC0DA9" w:rsidRPr="008464B5" w14:paraId="64B5EAAF" w14:textId="77777777" w:rsidTr="00D339D7">
      <w:trPr>
        <w:cantSplit/>
        <w:trHeight w:val="503"/>
        <w:jc w:val="center"/>
      </w:trPr>
      <w:tc>
        <w:tcPr>
          <w:tcW w:w="2693" w:type="dxa"/>
          <w:vMerge w:val="restart"/>
        </w:tcPr>
        <w:p w14:paraId="11A22234" w14:textId="77777777" w:rsidR="00AC0DA9" w:rsidRDefault="00AC0DA9" w:rsidP="00AC0DA9">
          <w:pPr>
            <w:ind w:right="360"/>
            <w:jc w:val="center"/>
            <w:rPr>
              <w:lang w:val="es-MX"/>
            </w:rPr>
          </w:pPr>
          <w:r>
            <w:rPr>
              <w:noProof/>
              <w:lang w:val="es-ES" w:eastAsia="es-ES"/>
            </w:rPr>
            <w:drawing>
              <wp:inline distT="0" distB="0" distL="0" distR="0" wp14:anchorId="691AC086" wp14:editId="4258B2A4">
                <wp:extent cx="1621155" cy="964565"/>
                <wp:effectExtent l="0" t="0" r="0" b="6985"/>
                <wp:docPr id="1372313677" name="Imagen 1372313677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07859136" name="Imagen 1307859136" descr="Texto&#10;&#10;El contenido generado por IA puede ser incorrecto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21155" cy="9645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3" w:type="dxa"/>
          <w:vMerge w:val="restart"/>
          <w:vAlign w:val="center"/>
        </w:tcPr>
        <w:p w14:paraId="1406D213" w14:textId="39958D72" w:rsidR="00AC0DA9" w:rsidRPr="007E1704" w:rsidRDefault="00AC0DA9" w:rsidP="00AC0DA9">
          <w:pPr>
            <w:jc w:val="center"/>
            <w:rPr>
              <w:rFonts w:ascii="Arial" w:hAnsi="Arial" w:cs="Arial"/>
              <w:sz w:val="20"/>
              <w:szCs w:val="20"/>
              <w:lang w:val="es-ES"/>
            </w:rPr>
          </w:pPr>
          <w:r w:rsidRPr="007E1704">
            <w:rPr>
              <w:rFonts w:ascii="Arial" w:hAnsi="Arial" w:cs="Arial"/>
              <w:iCs/>
              <w:sz w:val="20"/>
            </w:rPr>
            <w:t>A</w:t>
          </w:r>
          <w:r w:rsidR="00F2505F">
            <w:rPr>
              <w:rFonts w:ascii="Arial" w:hAnsi="Arial" w:cs="Arial"/>
              <w:iCs/>
              <w:sz w:val="20"/>
            </w:rPr>
            <w:t>nexo</w:t>
          </w:r>
          <w:r w:rsidRPr="007E1704">
            <w:rPr>
              <w:rFonts w:ascii="Arial" w:hAnsi="Arial" w:cs="Arial"/>
              <w:iCs/>
              <w:sz w:val="20"/>
            </w:rPr>
            <w:t xml:space="preserve"> 3. </w:t>
          </w:r>
          <w:r w:rsidRPr="007E1704">
            <w:rPr>
              <w:rFonts w:ascii="Arial" w:hAnsi="Arial" w:cs="Arial"/>
              <w:sz w:val="20"/>
              <w:szCs w:val="20"/>
              <w:lang w:val="es-ES"/>
            </w:rPr>
            <w:t>Anexo B de la norma ISO 27001</w:t>
          </w:r>
        </w:p>
      </w:tc>
    </w:tr>
    <w:tr w:rsidR="00AC0DA9" w:rsidRPr="008464B5" w14:paraId="18F21A72" w14:textId="77777777" w:rsidTr="00D339D7">
      <w:trPr>
        <w:cantSplit/>
        <w:trHeight w:val="503"/>
        <w:jc w:val="center"/>
      </w:trPr>
      <w:tc>
        <w:tcPr>
          <w:tcW w:w="2693" w:type="dxa"/>
          <w:vMerge/>
        </w:tcPr>
        <w:p w14:paraId="31F915DD" w14:textId="77777777" w:rsidR="00AC0DA9" w:rsidRDefault="00AC0DA9" w:rsidP="00AC0DA9">
          <w:pPr>
            <w:ind w:right="360"/>
            <w:jc w:val="center"/>
            <w:rPr>
              <w:noProof/>
            </w:rPr>
          </w:pPr>
        </w:p>
      </w:tc>
      <w:tc>
        <w:tcPr>
          <w:tcW w:w="7083" w:type="dxa"/>
          <w:vMerge/>
        </w:tcPr>
        <w:p w14:paraId="3BC89467" w14:textId="77777777" w:rsidR="00AC0DA9" w:rsidRPr="008464B5" w:rsidRDefault="00AC0DA9" w:rsidP="00AC0DA9">
          <w:pPr>
            <w:jc w:val="center"/>
            <w:rPr>
              <w:rFonts w:cs="Arial"/>
              <w:sz w:val="20"/>
              <w:szCs w:val="20"/>
              <w:lang w:val="es-MX"/>
            </w:rPr>
          </w:pPr>
        </w:p>
      </w:tc>
    </w:tr>
    <w:tr w:rsidR="00AC0DA9" w:rsidRPr="008464B5" w14:paraId="37203194" w14:textId="77777777" w:rsidTr="00D339D7">
      <w:trPr>
        <w:cantSplit/>
        <w:trHeight w:val="504"/>
        <w:jc w:val="center"/>
      </w:trPr>
      <w:tc>
        <w:tcPr>
          <w:tcW w:w="2693" w:type="dxa"/>
          <w:vMerge/>
        </w:tcPr>
        <w:p w14:paraId="1AED57E4" w14:textId="77777777" w:rsidR="00AC0DA9" w:rsidRDefault="00AC0DA9" w:rsidP="00AC0DA9">
          <w:pPr>
            <w:rPr>
              <w:lang w:val="es-MX"/>
            </w:rPr>
          </w:pPr>
        </w:p>
      </w:tc>
      <w:tc>
        <w:tcPr>
          <w:tcW w:w="7083" w:type="dxa"/>
          <w:vMerge/>
        </w:tcPr>
        <w:p w14:paraId="1E517C74" w14:textId="77777777" w:rsidR="00AC0DA9" w:rsidRPr="008464B5" w:rsidRDefault="00AC0DA9" w:rsidP="00AC0DA9">
          <w:pPr>
            <w:jc w:val="center"/>
            <w:rPr>
              <w:rFonts w:cs="Arial"/>
              <w:sz w:val="20"/>
              <w:szCs w:val="20"/>
            </w:rPr>
          </w:pPr>
        </w:p>
      </w:tc>
    </w:tr>
  </w:tbl>
  <w:p w14:paraId="4C57A505" w14:textId="77777777" w:rsidR="00AC0DA9" w:rsidRDefault="00AC0DA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8AE"/>
    <w:rsid w:val="00164133"/>
    <w:rsid w:val="00195B83"/>
    <w:rsid w:val="0046059C"/>
    <w:rsid w:val="004A5B94"/>
    <w:rsid w:val="00682F5E"/>
    <w:rsid w:val="007E1704"/>
    <w:rsid w:val="00857D17"/>
    <w:rsid w:val="00986A63"/>
    <w:rsid w:val="00A438EB"/>
    <w:rsid w:val="00AC0DA9"/>
    <w:rsid w:val="00BA4B0B"/>
    <w:rsid w:val="00BB14F3"/>
    <w:rsid w:val="00BF53EA"/>
    <w:rsid w:val="00C458AE"/>
    <w:rsid w:val="00E02A55"/>
    <w:rsid w:val="00F2505F"/>
    <w:rsid w:val="00F41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F5BB0"/>
  <w15:chartTrackingRefBased/>
  <w15:docId w15:val="{66D48573-8156-4261-A9B6-4DD312512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458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458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458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458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458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458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458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458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458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458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458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458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458A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458A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458A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458A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458A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458A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458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458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458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458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458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458A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458A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458A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458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458A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458AE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C458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AC0DA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C0DA9"/>
  </w:style>
  <w:style w:type="paragraph" w:styleId="Piedepgina">
    <w:name w:val="footer"/>
    <w:basedOn w:val="Normal"/>
    <w:link w:val="PiedepginaCar"/>
    <w:uiPriority w:val="99"/>
    <w:unhideWhenUsed/>
    <w:rsid w:val="00AC0DA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C0D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9478eec2-8df7-4948-80d3-740a16e1dcca}" enabled="0" method="" siteId="{9478eec2-8df7-4948-80d3-740a16e1dcc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8</Pages>
  <Words>3054</Words>
  <Characters>16800</Characters>
  <Application>Microsoft Office Word</Application>
  <DocSecurity>0</DocSecurity>
  <Lines>140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Carolina Castro Becerra</dc:creator>
  <cp:keywords/>
  <dc:description/>
  <cp:lastModifiedBy>Laura Johanna Forero Torres</cp:lastModifiedBy>
  <cp:revision>8</cp:revision>
  <cp:lastPrinted>2025-07-31T17:44:00Z</cp:lastPrinted>
  <dcterms:created xsi:type="dcterms:W3CDTF">2025-07-31T17:06:00Z</dcterms:created>
  <dcterms:modified xsi:type="dcterms:W3CDTF">2026-09-08T21:21:00Z</dcterms:modified>
</cp:coreProperties>
</file>